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D1CBA" w:rsidR="00ED3538" w:rsidP="00ED3538" w:rsidRDefault="00ED3538" w14:paraId="9e684df" w14:textId="9e684df">
      <w:pPr>
        <w:pStyle w:val="Naslov2"/>
        <w15:collapsed w:val="false"/>
        <w:rPr>
          <w:szCs w:val="24"/>
        </w:rPr>
      </w:pPr>
      <w:bookmarkStart w:name="_GoBack" w:id="0"/>
      <w:bookmarkEnd w:id="0"/>
      <w:r w:rsidRPr="004D1CBA">
        <w:rPr>
          <w:szCs w:val="24"/>
        </w:rPr>
        <w:t xml:space="preserve">REPUBLIKA HRVATSKA </w:t>
      </w:r>
    </w:p>
    <w:p w:rsidRPr="004D1CBA" w:rsidR="00ED3538" w:rsidP="00ED3538" w:rsidRDefault="00ED3538">
      <w:pPr>
        <w:pStyle w:val="Naslov2"/>
        <w:rPr>
          <w:szCs w:val="24"/>
        </w:rPr>
      </w:pPr>
      <w:r w:rsidRPr="004D1CBA">
        <w:rPr>
          <w:szCs w:val="24"/>
        </w:rPr>
        <w:t xml:space="preserve">TRGOVAČKI SUD U ZAGREBU                                 </w:t>
      </w:r>
      <w:r w:rsidRPr="004D1CBA">
        <w:rPr>
          <w:szCs w:val="24"/>
        </w:rPr>
        <w:tab/>
      </w:r>
      <w:r w:rsidRPr="004D1CBA">
        <w:rPr>
          <w:szCs w:val="24"/>
        </w:rPr>
        <w:tab/>
        <w:t xml:space="preserve">               </w:t>
      </w:r>
    </w:p>
    <w:p w:rsidRPr="004D1CBA" w:rsidR="00ED3538" w:rsidP="00ED3538" w:rsidRDefault="00ED3538">
      <w:pPr>
        <w:rPr>
          <w:sz w:val="24"/>
          <w:szCs w:val="24"/>
        </w:rPr>
      </w:pPr>
      <w:r w:rsidRPr="004D1CBA">
        <w:rPr>
          <w:b/>
          <w:sz w:val="24"/>
          <w:szCs w:val="24"/>
        </w:rPr>
        <w:t>Zagreb, Amruševa 2/II</w:t>
      </w:r>
      <w:r w:rsidRPr="004D1CBA">
        <w:rPr>
          <w:b/>
          <w:sz w:val="24"/>
          <w:szCs w:val="24"/>
        </w:rPr>
        <w:tab/>
      </w:r>
      <w:r w:rsidRPr="004D1CBA">
        <w:rPr>
          <w:b/>
          <w:sz w:val="24"/>
          <w:szCs w:val="24"/>
        </w:rPr>
        <w:tab/>
      </w:r>
      <w:r w:rsidRPr="004D1CBA">
        <w:rPr>
          <w:b/>
          <w:sz w:val="24"/>
          <w:szCs w:val="24"/>
        </w:rPr>
        <w:tab/>
      </w:r>
      <w:r w:rsidRPr="004D1CBA">
        <w:rPr>
          <w:b/>
          <w:sz w:val="24"/>
          <w:szCs w:val="24"/>
        </w:rPr>
        <w:tab/>
      </w:r>
      <w:r w:rsidRPr="004D1CBA">
        <w:rPr>
          <w:b/>
          <w:sz w:val="24"/>
          <w:szCs w:val="24"/>
        </w:rPr>
        <w:tab/>
      </w:r>
      <w:r w:rsidRPr="004D1CBA">
        <w:rPr>
          <w:b/>
          <w:sz w:val="24"/>
          <w:szCs w:val="24"/>
        </w:rPr>
        <w:tab/>
        <w:t xml:space="preserve">     </w:t>
      </w:r>
    </w:p>
    <w:p w:rsidR="00ED3538" w:rsidP="00ED3538" w:rsidRDefault="00ED3538">
      <w:pPr>
        <w:rPr>
          <w:b/>
          <w:sz w:val="24"/>
          <w:szCs w:val="24"/>
        </w:rPr>
      </w:pPr>
    </w:p>
    <w:p w:rsidRPr="004D1CBA" w:rsidR="00F33C1E" w:rsidP="00ED3538" w:rsidRDefault="00F33C1E">
      <w:pPr>
        <w:rPr>
          <w:b/>
          <w:sz w:val="24"/>
          <w:szCs w:val="24"/>
        </w:rPr>
      </w:pPr>
    </w:p>
    <w:p w:rsidRPr="004D1CBA" w:rsidR="00ED3538" w:rsidP="00ED3538" w:rsidRDefault="00ED3538">
      <w:pPr>
        <w:rPr>
          <w:b/>
          <w:sz w:val="24"/>
          <w:szCs w:val="24"/>
        </w:rPr>
      </w:pPr>
    </w:p>
    <w:p w:rsidRPr="004D1CBA" w:rsidR="00ED3538" w:rsidP="00ED3538" w:rsidRDefault="00ED3538">
      <w:pPr>
        <w:jc w:val="center"/>
        <w:rPr>
          <w:b/>
          <w:sz w:val="24"/>
          <w:szCs w:val="24"/>
        </w:rPr>
      </w:pPr>
      <w:r w:rsidRPr="004D1CBA">
        <w:rPr>
          <w:b/>
          <w:sz w:val="24"/>
          <w:szCs w:val="24"/>
        </w:rPr>
        <w:t>Z A P I S N I K</w:t>
      </w:r>
    </w:p>
    <w:p w:rsidRPr="004D1CBA" w:rsidR="00ED3538" w:rsidP="00ED3538" w:rsidRDefault="00ED3538">
      <w:pPr>
        <w:jc w:val="center"/>
        <w:rPr>
          <w:b/>
          <w:sz w:val="24"/>
          <w:szCs w:val="24"/>
        </w:rPr>
      </w:pPr>
      <w:r w:rsidRPr="004D1CBA">
        <w:rPr>
          <w:b/>
          <w:sz w:val="24"/>
          <w:szCs w:val="24"/>
        </w:rPr>
        <w:t>SA SKUPŠTINE VJEROVNIKA</w:t>
      </w:r>
    </w:p>
    <w:p w:rsidRPr="004D1CBA" w:rsidR="00ED3538" w:rsidP="00ED3538" w:rsidRDefault="00ED3538">
      <w:pPr>
        <w:rPr>
          <w:sz w:val="24"/>
          <w:szCs w:val="24"/>
        </w:rPr>
      </w:pPr>
    </w:p>
    <w:p w:rsidRPr="004D1CBA" w:rsidR="00ED3538" w:rsidP="00ED3538" w:rsidRDefault="00ED3538">
      <w:pPr>
        <w:pStyle w:val="Tijeloteksta"/>
        <w:jc w:val="both"/>
        <w:rPr>
          <w:sz w:val="24"/>
          <w:szCs w:val="24"/>
        </w:rPr>
      </w:pPr>
      <w:r w:rsidRPr="004D1CBA">
        <w:rPr>
          <w:sz w:val="24"/>
          <w:szCs w:val="24"/>
        </w:rPr>
        <w:t xml:space="preserve">održane dana </w:t>
      </w:r>
      <w:r w:rsidR="000A3269">
        <w:rPr>
          <w:b/>
          <w:sz w:val="24"/>
          <w:szCs w:val="24"/>
        </w:rPr>
        <w:t>26. travnja</w:t>
      </w:r>
      <w:r w:rsidR="00B11D0A">
        <w:rPr>
          <w:b/>
          <w:sz w:val="24"/>
          <w:szCs w:val="24"/>
        </w:rPr>
        <w:t xml:space="preserve"> 2021</w:t>
      </w:r>
      <w:r w:rsidRPr="004D1CBA">
        <w:rPr>
          <w:b/>
          <w:sz w:val="24"/>
          <w:szCs w:val="24"/>
        </w:rPr>
        <w:t>.</w:t>
      </w:r>
      <w:r w:rsidRPr="004D1CBA">
        <w:rPr>
          <w:sz w:val="24"/>
          <w:szCs w:val="24"/>
        </w:rPr>
        <w:t xml:space="preserve"> u Trgovačkom sudu u Zagrebu</w:t>
      </w:r>
      <w:r w:rsidR="00F25FF2">
        <w:rPr>
          <w:sz w:val="24"/>
          <w:szCs w:val="24"/>
        </w:rPr>
        <w:t>, Petrinjska 8, dvorana 100, dvorišna zgrada,</w:t>
      </w:r>
      <w:r w:rsidRPr="004D1CBA">
        <w:rPr>
          <w:sz w:val="24"/>
          <w:szCs w:val="24"/>
        </w:rPr>
        <w:t xml:space="preserve"> u stečajnom predmetu </w:t>
      </w:r>
      <w:r w:rsidRPr="004D1CBA">
        <w:rPr>
          <w:sz w:val="24"/>
          <w:szCs w:val="24"/>
          <w:lang w:val="pt-BR"/>
        </w:rPr>
        <w:t xml:space="preserve">nad imovinom dužnika </w:t>
      </w:r>
      <w:r w:rsidRPr="003C3758" w:rsidR="003C3758">
        <w:rPr>
          <w:sz w:val="24"/>
          <w:szCs w:val="24"/>
        </w:rPr>
        <w:t>Stečajna masa iza BauMax Zagreb d.o.o. za trgovinu i usluge u stečaju, Zagreb, Ulica majstora Radonje 12, OIB: 39834398558, (ranije: BauMax Zagreb d.o.o. za trgovinu i usluge u stečaju, Zagreb (Grad Zagreb), Škorpikova 11, raniji: OIB: 09126225915, MBS: 080185171)</w:t>
      </w:r>
    </w:p>
    <w:p w:rsidRPr="004D1CBA" w:rsidR="00ED3538" w:rsidP="00ED3538" w:rsidRDefault="00ED3538">
      <w:pPr>
        <w:pStyle w:val="Tijeloteksta"/>
        <w:rPr>
          <w:sz w:val="24"/>
          <w:szCs w:val="24"/>
        </w:rPr>
      </w:pPr>
    </w:p>
    <w:p w:rsidRPr="004D1CBA" w:rsidR="00ED3538" w:rsidP="00ED3538" w:rsidRDefault="00ED3538">
      <w:pPr>
        <w:rPr>
          <w:sz w:val="24"/>
          <w:szCs w:val="24"/>
        </w:rPr>
      </w:pPr>
      <w:r w:rsidRPr="004D1CBA">
        <w:rPr>
          <w:sz w:val="24"/>
          <w:szCs w:val="24"/>
        </w:rPr>
        <w:t>Nazočni od suda:</w:t>
      </w:r>
    </w:p>
    <w:p w:rsidRPr="004D1CBA" w:rsidR="00ED3538" w:rsidP="00ED3538" w:rsidRDefault="006B69C0">
      <w:pPr>
        <w:rPr>
          <w:sz w:val="24"/>
          <w:szCs w:val="24"/>
        </w:rPr>
      </w:pPr>
      <w:r>
        <w:rPr>
          <w:sz w:val="24"/>
          <w:szCs w:val="24"/>
        </w:rPr>
        <w:t xml:space="preserve">Nikola Ribarić, </w:t>
      </w:r>
      <w:r w:rsidRPr="004D1CBA" w:rsidR="00ED3538">
        <w:rPr>
          <w:sz w:val="24"/>
          <w:szCs w:val="24"/>
        </w:rPr>
        <w:t>sudac</w:t>
      </w:r>
    </w:p>
    <w:p w:rsidRPr="004D1CBA" w:rsidR="00ED3538" w:rsidP="00ED3538" w:rsidRDefault="00ED3538">
      <w:pPr>
        <w:rPr>
          <w:sz w:val="24"/>
          <w:szCs w:val="24"/>
        </w:rPr>
      </w:pPr>
      <w:r w:rsidRPr="004D1CBA">
        <w:rPr>
          <w:sz w:val="24"/>
          <w:szCs w:val="24"/>
        </w:rPr>
        <w:t>Maja Hajtek, zapisničar</w:t>
      </w:r>
    </w:p>
    <w:p w:rsidRPr="004D1CBA" w:rsidR="00ED3538" w:rsidP="00ED3538" w:rsidRDefault="00ED3538">
      <w:pPr>
        <w:rPr>
          <w:sz w:val="24"/>
          <w:szCs w:val="24"/>
        </w:rPr>
      </w:pPr>
    </w:p>
    <w:p w:rsidRPr="004D1CBA" w:rsidR="00ED3538" w:rsidP="00ED3538" w:rsidRDefault="003C3758">
      <w:pPr>
        <w:rPr>
          <w:sz w:val="24"/>
          <w:szCs w:val="24"/>
        </w:rPr>
      </w:pPr>
      <w:r>
        <w:rPr>
          <w:sz w:val="24"/>
          <w:szCs w:val="24"/>
        </w:rPr>
        <w:t>Započeto u 09</w:t>
      </w:r>
      <w:r w:rsidR="00B862B0">
        <w:rPr>
          <w:sz w:val="24"/>
          <w:szCs w:val="24"/>
        </w:rPr>
        <w:t>,35</w:t>
      </w:r>
      <w:r w:rsidRPr="004D1CBA" w:rsidR="00ED3538">
        <w:rPr>
          <w:sz w:val="24"/>
          <w:szCs w:val="24"/>
        </w:rPr>
        <w:t xml:space="preserve"> sati.</w:t>
      </w:r>
    </w:p>
    <w:p w:rsidRPr="004D1CBA" w:rsidR="00ED3538" w:rsidP="00ED3538" w:rsidRDefault="00ED3538">
      <w:pPr>
        <w:rPr>
          <w:sz w:val="24"/>
          <w:szCs w:val="24"/>
        </w:rPr>
      </w:pPr>
    </w:p>
    <w:p w:rsidRPr="004D1CBA" w:rsidR="00ED3538" w:rsidP="00ED3538" w:rsidRDefault="0065369B">
      <w:pPr>
        <w:jc w:val="both"/>
        <w:rPr>
          <w:sz w:val="24"/>
          <w:szCs w:val="24"/>
        </w:rPr>
      </w:pPr>
      <w:r>
        <w:rPr>
          <w:sz w:val="24"/>
          <w:szCs w:val="24"/>
        </w:rPr>
        <w:t>Utvrđuje se da je pristupio stečajni upravitelj</w:t>
      </w:r>
      <w:r w:rsidRPr="004D1CBA" w:rsidR="00ED3538">
        <w:rPr>
          <w:sz w:val="24"/>
          <w:szCs w:val="24"/>
        </w:rPr>
        <w:t xml:space="preserve"> </w:t>
      </w:r>
      <w:r w:rsidR="003C3758">
        <w:rPr>
          <w:sz w:val="24"/>
          <w:szCs w:val="24"/>
        </w:rPr>
        <w:t>Ante Jukić</w:t>
      </w:r>
    </w:p>
    <w:p w:rsidRPr="004D1CBA" w:rsidR="00ED3538" w:rsidP="00ED3538" w:rsidRDefault="00ED3538">
      <w:pPr>
        <w:rPr>
          <w:sz w:val="24"/>
          <w:szCs w:val="24"/>
        </w:rPr>
      </w:pPr>
    </w:p>
    <w:p w:rsidRPr="004D1CBA" w:rsidR="00ED3538" w:rsidP="00ED3538" w:rsidRDefault="00ED3538">
      <w:pPr>
        <w:rPr>
          <w:sz w:val="24"/>
          <w:szCs w:val="24"/>
        </w:rPr>
      </w:pPr>
      <w:r w:rsidRPr="004D1CBA">
        <w:rPr>
          <w:sz w:val="24"/>
          <w:szCs w:val="24"/>
        </w:rPr>
        <w:t>Stečajni sudac utvrđuje da su pristupili sljedeći stečajni vjerovnici:</w:t>
      </w:r>
    </w:p>
    <w:p w:rsidR="00ED3538" w:rsidP="000E4EB1" w:rsidRDefault="000E4EB1">
      <w:pPr>
        <w:pStyle w:val="Odlomakpopisa"/>
        <w:numPr>
          <w:ilvl w:val="0"/>
          <w:numId w:val="11"/>
        </w:numPr>
        <w:rPr>
          <w:sz w:val="24"/>
          <w:szCs w:val="24"/>
        </w:rPr>
      </w:pPr>
      <w:r>
        <w:rPr>
          <w:sz w:val="24"/>
          <w:szCs w:val="24"/>
        </w:rPr>
        <w:t>INPROX Zagreb Sesvete d.o.o. – Dalibor Valinčić, odvjetnik, punomoć u spisu</w:t>
      </w:r>
    </w:p>
    <w:p w:rsidR="000E4EB1" w:rsidP="000E4EB1" w:rsidRDefault="000E4EB1">
      <w:pPr>
        <w:pStyle w:val="Odlomakpopisa"/>
        <w:numPr>
          <w:ilvl w:val="0"/>
          <w:numId w:val="11"/>
        </w:numPr>
        <w:rPr>
          <w:sz w:val="24"/>
          <w:szCs w:val="24"/>
        </w:rPr>
      </w:pPr>
      <w:r>
        <w:rPr>
          <w:sz w:val="24"/>
          <w:szCs w:val="24"/>
        </w:rPr>
        <w:t>INPROX Split d.o.o. - Dalibor Valinčić, odvjetnik, punomoć u spisu</w:t>
      </w:r>
    </w:p>
    <w:p w:rsidRPr="000E4EB1" w:rsidR="000E4EB1" w:rsidP="000E4EB1" w:rsidRDefault="000E4EB1">
      <w:pPr>
        <w:pStyle w:val="Odlomakpopisa"/>
        <w:rPr>
          <w:sz w:val="24"/>
          <w:szCs w:val="24"/>
        </w:rPr>
      </w:pPr>
    </w:p>
    <w:p w:rsidRPr="004D1CBA" w:rsidR="00ED3538" w:rsidP="00ED3538" w:rsidRDefault="00ED3538">
      <w:pPr>
        <w:pStyle w:val="Tijeloteksta2"/>
        <w:rPr>
          <w:szCs w:val="24"/>
        </w:rPr>
      </w:pPr>
      <w:r w:rsidRPr="004D1CBA">
        <w:rPr>
          <w:szCs w:val="24"/>
        </w:rPr>
        <w:t>Utvrđuje se da je skupština vjerovni</w:t>
      </w:r>
      <w:r w:rsidR="003C3758">
        <w:rPr>
          <w:szCs w:val="24"/>
        </w:rPr>
        <w:t>ka sazvana zaključkom suda od 22. ožujka</w:t>
      </w:r>
      <w:r w:rsidR="009C5568">
        <w:rPr>
          <w:szCs w:val="24"/>
        </w:rPr>
        <w:t xml:space="preserve"> 2021</w:t>
      </w:r>
      <w:r w:rsidRPr="004D1CBA">
        <w:rPr>
          <w:szCs w:val="24"/>
        </w:rPr>
        <w:t>.</w:t>
      </w:r>
    </w:p>
    <w:p w:rsidRPr="004D1CBA" w:rsidR="00ED3538" w:rsidP="00ED3538" w:rsidRDefault="00ED3538">
      <w:pPr>
        <w:pStyle w:val="Tijeloteksta2"/>
        <w:rPr>
          <w:szCs w:val="24"/>
        </w:rPr>
      </w:pPr>
    </w:p>
    <w:p w:rsidRPr="004D1CBA" w:rsidR="00ED3538" w:rsidP="00ED3538" w:rsidRDefault="00ED3538">
      <w:pPr>
        <w:pStyle w:val="Tijeloteksta2"/>
        <w:rPr>
          <w:szCs w:val="24"/>
        </w:rPr>
      </w:pPr>
      <w:r w:rsidRPr="004D1CBA">
        <w:rPr>
          <w:szCs w:val="24"/>
        </w:rPr>
        <w:t xml:space="preserve">Poziv za ročište-skupštinu vjerovnika objavljen je na e-oglasnoj ploči suda </w:t>
      </w:r>
      <w:r w:rsidR="003C3758">
        <w:rPr>
          <w:szCs w:val="24"/>
        </w:rPr>
        <w:t>22. ožujka</w:t>
      </w:r>
      <w:r w:rsidR="009C5568">
        <w:rPr>
          <w:szCs w:val="24"/>
        </w:rPr>
        <w:t xml:space="preserve"> 2021</w:t>
      </w:r>
      <w:r w:rsidRPr="004D1CBA" w:rsidR="00660A90">
        <w:rPr>
          <w:szCs w:val="24"/>
        </w:rPr>
        <w:t>.</w:t>
      </w:r>
      <w:r w:rsidRPr="004D1CBA">
        <w:rPr>
          <w:szCs w:val="24"/>
        </w:rPr>
        <w:t xml:space="preserve"> u skladu s čl. 441 u svezi čl. 12. Stečajnog zakona NN 71/15.</w:t>
      </w:r>
    </w:p>
    <w:p w:rsidRPr="004D1CBA" w:rsidR="00ED3538" w:rsidP="00ED3538" w:rsidRDefault="00ED3538">
      <w:pPr>
        <w:pStyle w:val="Tijeloteksta2"/>
        <w:rPr>
          <w:szCs w:val="24"/>
        </w:rPr>
      </w:pPr>
    </w:p>
    <w:p w:rsidR="00ED3538" w:rsidP="00ED3538" w:rsidRDefault="00ED3538">
      <w:pPr>
        <w:jc w:val="both"/>
        <w:rPr>
          <w:sz w:val="24"/>
          <w:szCs w:val="24"/>
        </w:rPr>
      </w:pPr>
      <w:r w:rsidRPr="004D1CBA">
        <w:rPr>
          <w:sz w:val="24"/>
          <w:szCs w:val="24"/>
        </w:rPr>
        <w:t xml:space="preserve">Stečajni sudac otvara raspravu i objavljuje da je dnevni red današnjeg ročišta-skupštine vjerovnika određen zaključkom od </w:t>
      </w:r>
      <w:r w:rsidR="00F57EDD">
        <w:rPr>
          <w:sz w:val="24"/>
          <w:szCs w:val="24"/>
        </w:rPr>
        <w:t>22. ožujka</w:t>
      </w:r>
      <w:r w:rsidR="004F1522">
        <w:rPr>
          <w:sz w:val="24"/>
          <w:szCs w:val="24"/>
        </w:rPr>
        <w:t xml:space="preserve"> 2021</w:t>
      </w:r>
      <w:r w:rsidRPr="004D1CBA" w:rsidR="00660A90">
        <w:rPr>
          <w:sz w:val="24"/>
          <w:szCs w:val="24"/>
        </w:rPr>
        <w:t xml:space="preserve">. </w:t>
      </w:r>
      <w:r w:rsidRPr="004D1CBA">
        <w:rPr>
          <w:sz w:val="24"/>
          <w:szCs w:val="24"/>
        </w:rPr>
        <w:t xml:space="preserve">i to: </w:t>
      </w:r>
    </w:p>
    <w:p w:rsidRPr="004D1CBA" w:rsidR="00F83143" w:rsidP="00ED3538" w:rsidRDefault="00F83143">
      <w:pPr>
        <w:jc w:val="both"/>
        <w:rPr>
          <w:sz w:val="24"/>
          <w:szCs w:val="24"/>
        </w:rPr>
      </w:pPr>
    </w:p>
    <w:p w:rsidRPr="00F83143" w:rsidR="00F83143" w:rsidP="00F83143" w:rsidRDefault="00F83143">
      <w:pPr>
        <w:jc w:val="both"/>
        <w:rPr>
          <w:sz w:val="24"/>
          <w:szCs w:val="24"/>
        </w:rPr>
      </w:pPr>
      <w:r w:rsidRPr="00F83143">
        <w:rPr>
          <w:sz w:val="24"/>
          <w:szCs w:val="24"/>
        </w:rPr>
        <w:t>1.</w:t>
      </w:r>
      <w:r w:rsidRPr="00F83143">
        <w:rPr>
          <w:sz w:val="24"/>
          <w:szCs w:val="24"/>
        </w:rPr>
        <w:tab/>
        <w:t>Izvješće stečajnog upravitelja o tijeku stečajnog postupka.</w:t>
      </w:r>
    </w:p>
    <w:p w:rsidRPr="00F83143" w:rsidR="00F83143" w:rsidP="00F83143" w:rsidRDefault="00F83143">
      <w:pPr>
        <w:jc w:val="both"/>
        <w:rPr>
          <w:sz w:val="24"/>
          <w:szCs w:val="24"/>
        </w:rPr>
      </w:pPr>
      <w:r w:rsidRPr="00F83143">
        <w:rPr>
          <w:sz w:val="24"/>
          <w:szCs w:val="24"/>
        </w:rPr>
        <w:t>2.</w:t>
      </w:r>
      <w:r w:rsidRPr="00F83143">
        <w:rPr>
          <w:sz w:val="24"/>
          <w:szCs w:val="24"/>
        </w:rPr>
        <w:tab/>
        <w:t xml:space="preserve">Rasprava i donošenje odluke oko sklapanja nagodbe s vjerovnicima INPROX Zagreb Sesvete d.o.o., sa sjedištem u Zagrebu, na adresi Poljička 5/V, OIB: 8449669517, i INPROX Split d.o.o., sa sjedištem u Zagrebu, na adresi Poljička 5/V, OIB: 20710803749, kojom bi se okončao spor između vjerovnika i dužnika na način da bi se </w:t>
      </w:r>
    </w:p>
    <w:p w:rsidRPr="00F83143" w:rsidR="00F83143" w:rsidP="00F83143" w:rsidRDefault="00F83143">
      <w:pPr>
        <w:jc w:val="both"/>
        <w:rPr>
          <w:sz w:val="24"/>
          <w:szCs w:val="24"/>
        </w:rPr>
      </w:pPr>
    </w:p>
    <w:p w:rsidRPr="00F83143" w:rsidR="00F83143" w:rsidP="00F83143" w:rsidRDefault="00F83143">
      <w:pPr>
        <w:jc w:val="both"/>
        <w:rPr>
          <w:sz w:val="24"/>
          <w:szCs w:val="24"/>
        </w:rPr>
      </w:pPr>
      <w:r w:rsidRPr="00F83143">
        <w:rPr>
          <w:sz w:val="24"/>
          <w:szCs w:val="24"/>
        </w:rPr>
        <w:t>(i) stečajni vjerovnici i stečajni dužnik bi se odrekli svojih međusobnih tužbenih zahtjeva, čime bi se okončali parnični postupci u tijeku između stranaka;</w:t>
      </w:r>
    </w:p>
    <w:p w:rsidRPr="00F83143" w:rsidR="00F83143" w:rsidP="00F83143" w:rsidRDefault="00F83143">
      <w:pPr>
        <w:jc w:val="both"/>
        <w:rPr>
          <w:sz w:val="24"/>
          <w:szCs w:val="24"/>
        </w:rPr>
      </w:pPr>
      <w:r w:rsidRPr="00F83143">
        <w:rPr>
          <w:sz w:val="24"/>
          <w:szCs w:val="24"/>
        </w:rPr>
        <w:t>(ii) iznosi rezervirani za tužbene zahtjeve društava Inprox Zagreb Sesvete i Inprox Split u parnicama protiv stečajnog dužnika od ukupno HRK 309.081,81 bi bili raspodijeljeni ostalim vjerovnicima i Inprox Zagreb Sesvete i Inprox Split ne bi sudjelovali u raspodjeli tog iznosa;</w:t>
      </w:r>
    </w:p>
    <w:p w:rsidRPr="00F83143" w:rsidR="00F83143" w:rsidP="00F83143" w:rsidRDefault="00F83143">
      <w:pPr>
        <w:jc w:val="both"/>
        <w:rPr>
          <w:sz w:val="24"/>
          <w:szCs w:val="24"/>
        </w:rPr>
      </w:pPr>
      <w:r w:rsidRPr="00F83143">
        <w:rPr>
          <w:sz w:val="24"/>
          <w:szCs w:val="24"/>
        </w:rPr>
        <w:t>(iii) iznos od HRK 1.000.000,00 rezerviran za troškove parnica s društvima Inprox Zagreb Sesvete i Inprox Split bi bio iskorišten na način da bi:</w:t>
      </w:r>
    </w:p>
    <w:p w:rsidRPr="00F83143" w:rsidR="00F83143" w:rsidP="00F83143" w:rsidRDefault="00F83143">
      <w:pPr>
        <w:jc w:val="both"/>
        <w:rPr>
          <w:sz w:val="24"/>
          <w:szCs w:val="24"/>
        </w:rPr>
      </w:pPr>
      <w:r w:rsidRPr="00F83143">
        <w:rPr>
          <w:sz w:val="24"/>
          <w:szCs w:val="24"/>
        </w:rPr>
        <w:t>a) Inprox Zagreb Sesvete i Inprox Split primili plaćanje 10% od ukupnog iznosa (odnosno HRK 50.000,00 svakom društvu) radi pokrića materijalnih troškova proizašlih iz tih postupaka, i</w:t>
      </w:r>
    </w:p>
    <w:p w:rsidRPr="00F83143" w:rsidR="00F83143" w:rsidP="00F83143" w:rsidRDefault="00F83143">
      <w:pPr>
        <w:jc w:val="both"/>
        <w:rPr>
          <w:sz w:val="24"/>
          <w:szCs w:val="24"/>
        </w:rPr>
      </w:pPr>
      <w:r w:rsidRPr="00F83143">
        <w:rPr>
          <w:sz w:val="24"/>
          <w:szCs w:val="24"/>
        </w:rPr>
        <w:lastRenderedPageBreak/>
        <w:t>b) društvu Inprox Zagreb Sesvete bi bili plaćeni troškovi dosuđeni pravomoćnim sudskim odlukama u postupcima za izdavanje privremenih mjera u iznosu od HRK 45.867,50 (Pž-7264/2017-2) i HRK 44.300,00 (Ovr-33/2017), dok bi preostali iznos od HRK 1.000.000,00 bio raspodijeljen ostalim vjerovnicima i Inprox Zagreb Sesvete i Inprox Split ne bi sudjelovali u raspodjeli preostalog iznosa; i</w:t>
      </w:r>
    </w:p>
    <w:p w:rsidRPr="004D1CBA" w:rsidR="00ED3538" w:rsidP="00F83143" w:rsidRDefault="00F83143">
      <w:pPr>
        <w:jc w:val="both"/>
        <w:rPr>
          <w:sz w:val="24"/>
          <w:szCs w:val="24"/>
        </w:rPr>
      </w:pPr>
      <w:r w:rsidRPr="00F83143">
        <w:rPr>
          <w:sz w:val="24"/>
          <w:szCs w:val="24"/>
        </w:rPr>
        <w:t>(iv) preostali iznosi oba pologa od 3.543.183,15 kuna i 3.619.389,97 kuna, koje su društva Inprox Zagreb Sesvete i Inprox Split primili prema ugovorima o zakupu sa stečjanim dužnikom, ostaju društvima Inprox Zagreb Sesvete i Inprox Split i ona ih nisu dužna platiti u stečajnu masu.</w:t>
      </w:r>
    </w:p>
    <w:p w:rsidRPr="004D1CBA" w:rsidR="00ED3538" w:rsidP="00ED3538" w:rsidRDefault="00ED3538">
      <w:pPr>
        <w:jc w:val="both"/>
        <w:rPr>
          <w:sz w:val="24"/>
          <w:szCs w:val="24"/>
        </w:rPr>
      </w:pPr>
    </w:p>
    <w:p w:rsidR="00ED3538" w:rsidP="00ED3538" w:rsidRDefault="00ED3538">
      <w:pPr>
        <w:jc w:val="both"/>
        <w:rPr>
          <w:sz w:val="24"/>
          <w:szCs w:val="24"/>
        </w:rPr>
      </w:pPr>
      <w:r w:rsidRPr="004D1CBA">
        <w:rPr>
          <w:sz w:val="24"/>
          <w:szCs w:val="24"/>
        </w:rPr>
        <w:t>Stečajni sudac objavljuje da se određeni dnevni red može dopuniti, a po pravilima koja vrijede za donošenje odluka na ročištu-skupštini vjerovnika.</w:t>
      </w:r>
    </w:p>
    <w:p w:rsidRPr="004D1CBA" w:rsidR="000A17AB" w:rsidP="00ED3538" w:rsidRDefault="000A17AB">
      <w:pPr>
        <w:jc w:val="both"/>
        <w:rPr>
          <w:sz w:val="24"/>
          <w:szCs w:val="24"/>
        </w:rPr>
      </w:pPr>
    </w:p>
    <w:p w:rsidR="00ED3538" w:rsidP="00ED3538" w:rsidRDefault="00ED3538">
      <w:pPr>
        <w:jc w:val="both"/>
        <w:rPr>
          <w:sz w:val="24"/>
          <w:szCs w:val="24"/>
        </w:rPr>
      </w:pPr>
      <w:r w:rsidRPr="004D1CBA">
        <w:rPr>
          <w:sz w:val="24"/>
          <w:szCs w:val="24"/>
        </w:rPr>
        <w:t>Pravo sudjelovanja na ročištu-skupštini vjerovnika imaju svi vjerovnici s pravom odvojenog namirenja, svi stečajni vjerovnici, vjerovnici stečajne mase, stečajni upravitelj.</w:t>
      </w:r>
    </w:p>
    <w:p w:rsidRPr="004D1CBA" w:rsidR="000A17AB" w:rsidP="00ED3538" w:rsidRDefault="000A17AB">
      <w:pPr>
        <w:jc w:val="both"/>
        <w:rPr>
          <w:sz w:val="24"/>
          <w:szCs w:val="24"/>
        </w:rPr>
      </w:pPr>
    </w:p>
    <w:p w:rsidRPr="004D1CBA" w:rsidR="0058271E" w:rsidP="00ED3538" w:rsidRDefault="00ED3538">
      <w:pPr>
        <w:jc w:val="both"/>
        <w:rPr>
          <w:sz w:val="24"/>
          <w:szCs w:val="24"/>
        </w:rPr>
      </w:pPr>
      <w:r w:rsidRPr="004D1CBA">
        <w:rPr>
          <w:sz w:val="24"/>
          <w:szCs w:val="24"/>
        </w:rPr>
        <w:t>Ročište je javno.</w:t>
      </w:r>
    </w:p>
    <w:p w:rsidRPr="004D1CBA" w:rsidR="00ED3538" w:rsidP="00ED3538" w:rsidRDefault="00ED3538">
      <w:pPr>
        <w:jc w:val="both"/>
        <w:rPr>
          <w:sz w:val="24"/>
          <w:szCs w:val="24"/>
        </w:rPr>
      </w:pPr>
    </w:p>
    <w:p w:rsidR="00ED3538" w:rsidP="00ED3538" w:rsidRDefault="00ED3538">
      <w:pPr>
        <w:jc w:val="both"/>
        <w:rPr>
          <w:sz w:val="24"/>
          <w:szCs w:val="24"/>
        </w:rPr>
      </w:pPr>
      <w:r w:rsidRPr="004D1CBA">
        <w:rPr>
          <w:sz w:val="24"/>
          <w:szCs w:val="24"/>
        </w:rPr>
        <w:t>Stečajni sudac upoznaje vjerovnika da se radi održavanja reda na današnjem ročištu sudionicima mogu izricati kazne propisane odredbama čl. 3</w:t>
      </w:r>
      <w:r w:rsidR="000A17AB">
        <w:rPr>
          <w:sz w:val="24"/>
          <w:szCs w:val="24"/>
        </w:rPr>
        <w:t>18. ZPP-a u vezi s čl. 6. SZ-a.</w:t>
      </w:r>
    </w:p>
    <w:p w:rsidR="003F0DF1" w:rsidP="00ED3538" w:rsidRDefault="003F0DF1">
      <w:pPr>
        <w:jc w:val="both"/>
        <w:rPr>
          <w:sz w:val="24"/>
          <w:szCs w:val="24"/>
        </w:rPr>
      </w:pPr>
    </w:p>
    <w:p w:rsidR="0058271E" w:rsidP="00ED3538" w:rsidRDefault="0058271E">
      <w:pPr>
        <w:jc w:val="both"/>
        <w:rPr>
          <w:sz w:val="24"/>
          <w:szCs w:val="24"/>
        </w:rPr>
      </w:pPr>
      <w:r>
        <w:rPr>
          <w:sz w:val="24"/>
          <w:szCs w:val="24"/>
        </w:rPr>
        <w:t xml:space="preserve">Nazočni vjerovnici prihvaćaju dnevni red skupštine vjerovnika, a prema zaključku suda od 22.03.2021. godine. </w:t>
      </w:r>
    </w:p>
    <w:p w:rsidRPr="004D1CBA" w:rsidR="0058271E" w:rsidP="00ED3538" w:rsidRDefault="0058271E">
      <w:pPr>
        <w:jc w:val="both"/>
        <w:rPr>
          <w:sz w:val="24"/>
          <w:szCs w:val="24"/>
        </w:rPr>
      </w:pPr>
    </w:p>
    <w:p w:rsidR="00ED3538" w:rsidP="00ED3538" w:rsidRDefault="00ED3538">
      <w:pPr>
        <w:jc w:val="both"/>
        <w:rPr>
          <w:sz w:val="24"/>
          <w:szCs w:val="24"/>
        </w:rPr>
      </w:pPr>
      <w:r w:rsidRPr="004D1CBA">
        <w:rPr>
          <w:sz w:val="24"/>
          <w:szCs w:val="24"/>
        </w:rPr>
        <w:t>Utvrđuje se kako je stečaj</w:t>
      </w:r>
      <w:r w:rsidRPr="004D1CBA" w:rsidR="00053D80">
        <w:rPr>
          <w:sz w:val="24"/>
          <w:szCs w:val="24"/>
        </w:rPr>
        <w:t>ni upravitelj predao</w:t>
      </w:r>
      <w:r w:rsidR="00E66367">
        <w:rPr>
          <w:sz w:val="24"/>
          <w:szCs w:val="24"/>
        </w:rPr>
        <w:t xml:space="preserve"> </w:t>
      </w:r>
      <w:r w:rsidR="00503490">
        <w:rPr>
          <w:sz w:val="24"/>
          <w:szCs w:val="24"/>
        </w:rPr>
        <w:t>podnesak 22. prosinca 2020. godine koji je objavljen</w:t>
      </w:r>
      <w:r w:rsidR="00E66367">
        <w:rPr>
          <w:sz w:val="24"/>
          <w:szCs w:val="24"/>
        </w:rPr>
        <w:t xml:space="preserve"> na e-oglasnoj ploči suda.</w:t>
      </w:r>
    </w:p>
    <w:p w:rsidRPr="004D1CBA" w:rsidR="00ED3538" w:rsidP="00ED3538" w:rsidRDefault="00ED3538">
      <w:pPr>
        <w:jc w:val="both"/>
        <w:rPr>
          <w:sz w:val="24"/>
          <w:szCs w:val="24"/>
          <w:u w:val="single"/>
        </w:rPr>
      </w:pPr>
    </w:p>
    <w:p w:rsidR="00053D80" w:rsidP="00053D80" w:rsidRDefault="00ED3538">
      <w:pPr>
        <w:jc w:val="both"/>
        <w:rPr>
          <w:sz w:val="24"/>
          <w:szCs w:val="24"/>
        </w:rPr>
      </w:pPr>
      <w:r w:rsidRPr="004D1CBA">
        <w:rPr>
          <w:sz w:val="24"/>
          <w:szCs w:val="24"/>
        </w:rPr>
        <w:t>Stečajni upravitel</w:t>
      </w:r>
      <w:r w:rsidR="00E66367">
        <w:rPr>
          <w:sz w:val="24"/>
          <w:szCs w:val="24"/>
        </w:rPr>
        <w:t>j u cijel</w:t>
      </w:r>
      <w:r w:rsidR="008165AA">
        <w:rPr>
          <w:sz w:val="24"/>
          <w:szCs w:val="24"/>
        </w:rPr>
        <w:t>osti ostaje kod svojeg izvješća te isto pojašnjava.</w:t>
      </w:r>
    </w:p>
    <w:p w:rsidR="0044291B" w:rsidP="00053D80" w:rsidRDefault="0044291B">
      <w:pPr>
        <w:jc w:val="both"/>
        <w:rPr>
          <w:sz w:val="24"/>
          <w:szCs w:val="24"/>
        </w:rPr>
      </w:pPr>
    </w:p>
    <w:p w:rsidRPr="004D1CBA" w:rsidR="008F3905" w:rsidP="008F3905" w:rsidRDefault="008F3905">
      <w:pPr>
        <w:jc w:val="both"/>
        <w:rPr>
          <w:sz w:val="24"/>
          <w:szCs w:val="24"/>
        </w:rPr>
      </w:pPr>
      <w:r>
        <w:rPr>
          <w:sz w:val="24"/>
          <w:szCs w:val="24"/>
        </w:rPr>
        <w:t>Stečajni upravitelj navodi kako je u potpunosti suglasan da se postigne nagodba, a kako su to predložili vjerovnici INPROX Zagreb Sesvete d.o.o. i INPROX Split d.o.o., obzirom da će nagodbom biti okonča</w:t>
      </w:r>
      <w:r w:rsidR="00BF297B">
        <w:rPr>
          <w:sz w:val="24"/>
          <w:szCs w:val="24"/>
        </w:rPr>
        <w:t>ni</w:t>
      </w:r>
      <w:r>
        <w:rPr>
          <w:sz w:val="24"/>
          <w:szCs w:val="24"/>
        </w:rPr>
        <w:t xml:space="preserve"> sudski postupci koji prouzrokuju troškove na obje strane, dok je ishod postupaka u potpun</w:t>
      </w:r>
      <w:r w:rsidR="00277666">
        <w:rPr>
          <w:sz w:val="24"/>
          <w:szCs w:val="24"/>
        </w:rPr>
        <w:t>osti neizvjestan. P</w:t>
      </w:r>
      <w:r>
        <w:rPr>
          <w:sz w:val="24"/>
          <w:szCs w:val="24"/>
        </w:rPr>
        <w:t>unomoćnik vjerovnik</w:t>
      </w:r>
      <w:r w:rsidR="00277666">
        <w:rPr>
          <w:sz w:val="24"/>
          <w:szCs w:val="24"/>
        </w:rPr>
        <w:t>a</w:t>
      </w:r>
      <w:r>
        <w:rPr>
          <w:sz w:val="24"/>
          <w:szCs w:val="24"/>
        </w:rPr>
        <w:t xml:space="preserve"> u potpunosti se pridružuje navodi</w:t>
      </w:r>
      <w:r w:rsidR="00277666">
        <w:rPr>
          <w:sz w:val="24"/>
          <w:szCs w:val="24"/>
        </w:rPr>
        <w:t>ma</w:t>
      </w:r>
      <w:r>
        <w:rPr>
          <w:sz w:val="24"/>
          <w:szCs w:val="24"/>
        </w:rPr>
        <w:t xml:space="preserve"> stečajnog uprav</w:t>
      </w:r>
      <w:r w:rsidR="0044291B">
        <w:rPr>
          <w:sz w:val="24"/>
          <w:szCs w:val="24"/>
        </w:rPr>
        <w:t>i</w:t>
      </w:r>
      <w:r>
        <w:rPr>
          <w:sz w:val="24"/>
          <w:szCs w:val="24"/>
        </w:rPr>
        <w:t>telja te smatra kako je postizanje nagodbe u interesu i dužnika i vjerovnika</w:t>
      </w:r>
      <w:r w:rsidR="0044291B">
        <w:rPr>
          <w:sz w:val="24"/>
          <w:szCs w:val="24"/>
        </w:rPr>
        <w:t>, posebice</w:t>
      </w:r>
      <w:r>
        <w:rPr>
          <w:sz w:val="24"/>
          <w:szCs w:val="24"/>
        </w:rPr>
        <w:t xml:space="preserve"> imajući u vidu nepotrebnih troškova i neizvjesnost postupaka.</w:t>
      </w:r>
    </w:p>
    <w:p w:rsidRPr="004D1CBA" w:rsidR="00AF0984" w:rsidP="00ED3538" w:rsidRDefault="00AF0984">
      <w:pPr>
        <w:jc w:val="both"/>
        <w:rPr>
          <w:sz w:val="24"/>
          <w:szCs w:val="24"/>
          <w:u w:val="single"/>
        </w:rPr>
      </w:pPr>
    </w:p>
    <w:p w:rsidR="00ED3538" w:rsidP="00ED3538" w:rsidRDefault="008F3905">
      <w:pPr>
        <w:jc w:val="both"/>
        <w:rPr>
          <w:sz w:val="24"/>
          <w:szCs w:val="24"/>
        </w:rPr>
      </w:pPr>
      <w:r>
        <w:rPr>
          <w:sz w:val="24"/>
          <w:szCs w:val="24"/>
        </w:rPr>
        <w:t>Pitanja i primjedbi nema.</w:t>
      </w:r>
    </w:p>
    <w:p w:rsidRPr="004D1CBA" w:rsidR="008F3905" w:rsidP="00ED3538" w:rsidRDefault="008F3905">
      <w:pPr>
        <w:jc w:val="both"/>
        <w:rPr>
          <w:sz w:val="24"/>
          <w:szCs w:val="24"/>
        </w:rPr>
      </w:pPr>
    </w:p>
    <w:p w:rsidRPr="004D1CBA" w:rsidR="00ED3538" w:rsidP="00ED3538" w:rsidRDefault="00ED3538">
      <w:pPr>
        <w:jc w:val="both"/>
        <w:rPr>
          <w:sz w:val="24"/>
          <w:szCs w:val="24"/>
        </w:rPr>
      </w:pPr>
      <w:r w:rsidRPr="004D1CBA">
        <w:rPr>
          <w:sz w:val="24"/>
          <w:szCs w:val="24"/>
        </w:rPr>
        <w:t>Stečajni sudac upoznaje nazočne da prema čl. 106. st. 1. Stečajnog zakona. Pravo glasa imaju vjerovnici čije su tražbine utvrđene. Pravo glasa imaju vjerovnici osporenih tražbina ako postojane svoje tražbine dokazuju ovršnom ispravom, osim ako se javno ili javno ovjerovljenom ispravom ne dokaže prestanak postojanja tražbine.</w:t>
      </w:r>
    </w:p>
    <w:p w:rsidRPr="004D1CBA" w:rsidR="00ED3538" w:rsidP="00ED3538" w:rsidRDefault="00ED3538">
      <w:pPr>
        <w:jc w:val="both"/>
        <w:rPr>
          <w:sz w:val="24"/>
          <w:szCs w:val="24"/>
        </w:rPr>
      </w:pPr>
    </w:p>
    <w:p w:rsidRPr="004D1CBA" w:rsidR="00ED3538" w:rsidP="00ED3538" w:rsidRDefault="00ED3538">
      <w:pPr>
        <w:jc w:val="both"/>
        <w:rPr>
          <w:sz w:val="24"/>
          <w:szCs w:val="24"/>
        </w:rPr>
      </w:pPr>
      <w:r w:rsidRPr="004D1CBA">
        <w:rPr>
          <w:sz w:val="24"/>
          <w:szCs w:val="24"/>
        </w:rPr>
        <w:t>Na temelju čl. 106. St. 2. Stečajnog zakona, smatra se da je na Skupštini vjerovnika odluka donesena ako zbroj iznosa tražbina stečajnih vjerovnika koji su glasovali "za" neku odluku iznosi više od broja glasova koji su glasovali "protiv".</w:t>
      </w:r>
    </w:p>
    <w:p w:rsidRPr="004D1CBA" w:rsidR="00ED3538" w:rsidP="00ED3538" w:rsidRDefault="00ED3538">
      <w:pPr>
        <w:rPr>
          <w:sz w:val="24"/>
          <w:szCs w:val="24"/>
        </w:rPr>
      </w:pPr>
      <w:r w:rsidRPr="004D1CBA">
        <w:rPr>
          <w:sz w:val="24"/>
          <w:szCs w:val="24"/>
        </w:rPr>
        <w:tab/>
      </w:r>
      <w:r w:rsidRPr="004D1CBA">
        <w:rPr>
          <w:sz w:val="24"/>
          <w:szCs w:val="24"/>
        </w:rPr>
        <w:tab/>
      </w:r>
      <w:r w:rsidRPr="004D1CBA">
        <w:rPr>
          <w:sz w:val="24"/>
          <w:szCs w:val="24"/>
        </w:rPr>
        <w:tab/>
      </w:r>
      <w:r w:rsidRPr="004D1CBA">
        <w:rPr>
          <w:sz w:val="24"/>
          <w:szCs w:val="24"/>
        </w:rPr>
        <w:tab/>
      </w:r>
      <w:r w:rsidRPr="004D1CBA">
        <w:rPr>
          <w:sz w:val="24"/>
          <w:szCs w:val="24"/>
        </w:rPr>
        <w:tab/>
      </w:r>
      <w:r w:rsidRPr="004D1CBA">
        <w:rPr>
          <w:sz w:val="24"/>
          <w:szCs w:val="24"/>
        </w:rPr>
        <w:tab/>
      </w:r>
      <w:r w:rsidRPr="004D1CBA">
        <w:rPr>
          <w:sz w:val="24"/>
          <w:szCs w:val="24"/>
        </w:rPr>
        <w:tab/>
      </w:r>
    </w:p>
    <w:p w:rsidRPr="004D1CBA" w:rsidR="00ED3538" w:rsidP="00ED3538" w:rsidRDefault="00ED3538">
      <w:pPr>
        <w:jc w:val="both"/>
        <w:rPr>
          <w:sz w:val="24"/>
          <w:szCs w:val="24"/>
        </w:rPr>
      </w:pPr>
      <w:r w:rsidRPr="004D1CBA">
        <w:rPr>
          <w:sz w:val="24"/>
          <w:szCs w:val="24"/>
        </w:rPr>
        <w:t>Stečajni sudac objavljuje da su na skupštini nazočni vjerovnici s pravom glasa i to:</w:t>
      </w:r>
    </w:p>
    <w:p w:rsidR="008F3905" w:rsidP="008F3905" w:rsidRDefault="008F3905">
      <w:pPr>
        <w:pStyle w:val="Odlomakpopisa"/>
        <w:numPr>
          <w:ilvl w:val="0"/>
          <w:numId w:val="12"/>
        </w:numPr>
        <w:rPr>
          <w:sz w:val="24"/>
          <w:szCs w:val="24"/>
        </w:rPr>
      </w:pPr>
      <w:r>
        <w:rPr>
          <w:sz w:val="24"/>
          <w:szCs w:val="24"/>
        </w:rPr>
        <w:t xml:space="preserve">INPROX Zagreb Sesvete d.o.o. </w:t>
      </w:r>
    </w:p>
    <w:p w:rsidR="008F3905" w:rsidP="008F3905" w:rsidRDefault="008F3905">
      <w:pPr>
        <w:pStyle w:val="Odlomakpopisa"/>
        <w:numPr>
          <w:ilvl w:val="0"/>
          <w:numId w:val="12"/>
        </w:numPr>
        <w:rPr>
          <w:sz w:val="24"/>
          <w:szCs w:val="24"/>
        </w:rPr>
      </w:pPr>
      <w:r>
        <w:rPr>
          <w:sz w:val="24"/>
          <w:szCs w:val="24"/>
        </w:rPr>
        <w:t xml:space="preserve">INPROX Split d.o.o. </w:t>
      </w:r>
    </w:p>
    <w:p w:rsidR="0064205F" w:rsidP="00ED3538" w:rsidRDefault="0064205F">
      <w:pPr>
        <w:jc w:val="both"/>
        <w:rPr>
          <w:sz w:val="24"/>
          <w:szCs w:val="24"/>
        </w:rPr>
      </w:pPr>
    </w:p>
    <w:p w:rsidRPr="004D1CBA" w:rsidR="00ED3538" w:rsidP="00ED3538" w:rsidRDefault="00ED3538">
      <w:pPr>
        <w:jc w:val="both"/>
        <w:rPr>
          <w:sz w:val="24"/>
          <w:szCs w:val="24"/>
        </w:rPr>
      </w:pPr>
      <w:r w:rsidRPr="004D1CBA">
        <w:rPr>
          <w:sz w:val="24"/>
          <w:szCs w:val="24"/>
        </w:rPr>
        <w:t xml:space="preserve">Stečajni sudac objavljuje da će se glasovanje izvršiti dizanjem ruku. </w:t>
      </w:r>
    </w:p>
    <w:p w:rsidR="008355FD" w:rsidP="00ED3538" w:rsidRDefault="008355FD">
      <w:pPr>
        <w:jc w:val="both"/>
        <w:rPr>
          <w:sz w:val="24"/>
          <w:szCs w:val="24"/>
        </w:rPr>
      </w:pPr>
    </w:p>
    <w:p w:rsidRPr="004D1CBA" w:rsidR="00ED3538" w:rsidP="00ED3538" w:rsidRDefault="00ED3538">
      <w:pPr>
        <w:jc w:val="both"/>
        <w:rPr>
          <w:sz w:val="24"/>
          <w:szCs w:val="24"/>
        </w:rPr>
      </w:pPr>
      <w:r w:rsidRPr="004D1CBA">
        <w:rPr>
          <w:sz w:val="24"/>
          <w:szCs w:val="24"/>
        </w:rPr>
        <w:t>Nakon čega vjero</w:t>
      </w:r>
      <w:r w:rsidR="008D29D9">
        <w:rPr>
          <w:sz w:val="24"/>
          <w:szCs w:val="24"/>
        </w:rPr>
        <w:t>vnici jednoglasno donose:</w:t>
      </w:r>
    </w:p>
    <w:p w:rsidRPr="004D1CBA" w:rsidR="00ED3538" w:rsidP="00ED3538" w:rsidRDefault="00ED3538">
      <w:pPr>
        <w:jc w:val="both"/>
        <w:rPr>
          <w:sz w:val="24"/>
          <w:szCs w:val="24"/>
        </w:rPr>
      </w:pPr>
    </w:p>
    <w:p w:rsidRPr="004D1CBA" w:rsidR="00ED3538" w:rsidP="00ED3538" w:rsidRDefault="00ED3538">
      <w:pPr>
        <w:jc w:val="center"/>
        <w:rPr>
          <w:b/>
          <w:sz w:val="24"/>
          <w:szCs w:val="24"/>
        </w:rPr>
      </w:pPr>
      <w:r w:rsidRPr="004D1CBA">
        <w:rPr>
          <w:b/>
          <w:sz w:val="24"/>
          <w:szCs w:val="24"/>
        </w:rPr>
        <w:t xml:space="preserve">O D L U K U </w:t>
      </w:r>
    </w:p>
    <w:p w:rsidRPr="004D1CBA" w:rsidR="00ED3538" w:rsidP="00ED3538" w:rsidRDefault="00ED3538">
      <w:pPr>
        <w:rPr>
          <w:sz w:val="24"/>
          <w:szCs w:val="24"/>
        </w:rPr>
      </w:pPr>
    </w:p>
    <w:p w:rsidRPr="004C4712" w:rsidR="004C4712" w:rsidP="004C4712" w:rsidRDefault="004C4712">
      <w:pPr>
        <w:jc w:val="both"/>
        <w:rPr>
          <w:sz w:val="24"/>
          <w:szCs w:val="24"/>
          <w:u w:val="single"/>
        </w:rPr>
      </w:pPr>
      <w:r w:rsidRPr="004C4712">
        <w:rPr>
          <w:sz w:val="24"/>
          <w:szCs w:val="24"/>
        </w:rPr>
        <w:t>1.</w:t>
      </w:r>
      <w:r w:rsidRPr="004C4712">
        <w:rPr>
          <w:sz w:val="24"/>
          <w:szCs w:val="24"/>
        </w:rPr>
        <w:tab/>
      </w:r>
      <w:r w:rsidRPr="00A82BDD" w:rsidR="00A82BDD">
        <w:rPr>
          <w:sz w:val="24"/>
          <w:szCs w:val="24"/>
        </w:rPr>
        <w:t xml:space="preserve">Prihvaća se </w:t>
      </w:r>
      <w:r w:rsidRPr="00A82BDD">
        <w:rPr>
          <w:sz w:val="24"/>
          <w:szCs w:val="24"/>
        </w:rPr>
        <w:t>Izvješće stečajnog upravitelja o tijeku stečajnog postupka.</w:t>
      </w:r>
    </w:p>
    <w:p w:rsidRPr="004C4712" w:rsidR="004C4712" w:rsidP="004C4712" w:rsidRDefault="004C4712">
      <w:pPr>
        <w:jc w:val="both"/>
        <w:rPr>
          <w:sz w:val="24"/>
          <w:szCs w:val="24"/>
          <w:u w:val="single"/>
        </w:rPr>
      </w:pPr>
      <w:r w:rsidRPr="004C4712">
        <w:rPr>
          <w:sz w:val="24"/>
          <w:szCs w:val="24"/>
        </w:rPr>
        <w:t>2.</w:t>
      </w:r>
      <w:r w:rsidRPr="00AD6E85">
        <w:rPr>
          <w:sz w:val="24"/>
          <w:szCs w:val="24"/>
        </w:rPr>
        <w:tab/>
      </w:r>
      <w:r w:rsidRPr="00AD6E85" w:rsidR="00AD6E85">
        <w:rPr>
          <w:sz w:val="24"/>
          <w:szCs w:val="24"/>
        </w:rPr>
        <w:t>Odobrava se stečajnom upravitelju sklapanje</w:t>
      </w:r>
      <w:r w:rsidRPr="00AD6E85">
        <w:rPr>
          <w:sz w:val="24"/>
          <w:szCs w:val="24"/>
        </w:rPr>
        <w:t xml:space="preserve"> nagodbe s vjerovnicima INPROX Zagreb Sesvete d.o.o., sa sjedištem u Zagrebu, na adresi Poljička 5/V, OIB: 8449669517, i INPROX Split d.o.o., sa sjedištem u Zagrebu, na adresi Poljička 5/</w:t>
      </w:r>
      <w:r w:rsidRPr="00AD6E85" w:rsidR="00AD6E85">
        <w:rPr>
          <w:sz w:val="24"/>
          <w:szCs w:val="24"/>
        </w:rPr>
        <w:t>V, OIB: 20710803749, kojom će se okončati</w:t>
      </w:r>
      <w:r w:rsidRPr="00AD6E85">
        <w:rPr>
          <w:sz w:val="24"/>
          <w:szCs w:val="24"/>
        </w:rPr>
        <w:t xml:space="preserve"> spor</w:t>
      </w:r>
      <w:r w:rsidRPr="00AD6E85" w:rsidR="00AD6E85">
        <w:rPr>
          <w:sz w:val="24"/>
          <w:szCs w:val="24"/>
        </w:rPr>
        <w:t>ovi</w:t>
      </w:r>
      <w:r w:rsidRPr="00AD6E85">
        <w:rPr>
          <w:sz w:val="24"/>
          <w:szCs w:val="24"/>
        </w:rPr>
        <w:t xml:space="preserve"> između vjerovnika i dužnika na način da </w:t>
      </w:r>
      <w:r w:rsidRPr="00AD6E85" w:rsidR="00AD6E85">
        <w:rPr>
          <w:sz w:val="24"/>
          <w:szCs w:val="24"/>
        </w:rPr>
        <w:t>se:</w:t>
      </w:r>
    </w:p>
    <w:p w:rsidRPr="004C4712" w:rsidR="004C4712" w:rsidP="004C4712" w:rsidRDefault="004C4712">
      <w:pPr>
        <w:jc w:val="both"/>
        <w:rPr>
          <w:sz w:val="24"/>
          <w:szCs w:val="24"/>
          <w:u w:val="single"/>
        </w:rPr>
      </w:pPr>
    </w:p>
    <w:p w:rsidRPr="00AD6E85" w:rsidR="004C4712" w:rsidP="004C4712" w:rsidRDefault="004C4712">
      <w:pPr>
        <w:jc w:val="both"/>
        <w:rPr>
          <w:sz w:val="24"/>
          <w:szCs w:val="24"/>
        </w:rPr>
      </w:pPr>
      <w:r w:rsidRPr="00AD6E85">
        <w:rPr>
          <w:sz w:val="24"/>
          <w:szCs w:val="24"/>
        </w:rPr>
        <w:t xml:space="preserve">(i) stečajni vjerovnici i stečajni dužnik </w:t>
      </w:r>
      <w:r w:rsidRPr="00AD6E85" w:rsidR="00AD6E85">
        <w:rPr>
          <w:sz w:val="24"/>
          <w:szCs w:val="24"/>
        </w:rPr>
        <w:t>odreknu</w:t>
      </w:r>
      <w:r w:rsidRPr="00AD6E85">
        <w:rPr>
          <w:sz w:val="24"/>
          <w:szCs w:val="24"/>
        </w:rPr>
        <w:t xml:space="preserve"> svojih međusobnih tužbenih zahtjeva, </w:t>
      </w:r>
      <w:r w:rsidRPr="00AD6E85" w:rsidR="00AD6E85">
        <w:rPr>
          <w:sz w:val="24"/>
          <w:szCs w:val="24"/>
        </w:rPr>
        <w:t>te će se time okončati</w:t>
      </w:r>
      <w:r w:rsidRPr="00AD6E85">
        <w:rPr>
          <w:sz w:val="24"/>
          <w:szCs w:val="24"/>
        </w:rPr>
        <w:t xml:space="preserve"> parnični postupci u tijeku između stranaka;</w:t>
      </w:r>
    </w:p>
    <w:p w:rsidRPr="00D37BCE" w:rsidR="004C4712" w:rsidP="004C4712" w:rsidRDefault="004C4712">
      <w:pPr>
        <w:jc w:val="both"/>
        <w:rPr>
          <w:sz w:val="24"/>
          <w:szCs w:val="24"/>
        </w:rPr>
      </w:pPr>
      <w:r w:rsidRPr="00D37BCE">
        <w:rPr>
          <w:sz w:val="24"/>
          <w:szCs w:val="24"/>
        </w:rPr>
        <w:t>(ii) iznosi rezervirani za tužbene zahtjeve društava Inprox Zagreb Sesvete i Inprox Split u parnicama protiv stečajnog dužnika od ukupno HRK 309.081,81 raspo</w:t>
      </w:r>
      <w:r w:rsidRPr="00D37BCE" w:rsidR="00D37BCE">
        <w:rPr>
          <w:sz w:val="24"/>
          <w:szCs w:val="24"/>
        </w:rPr>
        <w:t>redit će se</w:t>
      </w:r>
      <w:r w:rsidRPr="00D37BCE">
        <w:rPr>
          <w:sz w:val="24"/>
          <w:szCs w:val="24"/>
        </w:rPr>
        <w:t xml:space="preserve"> ostalim vjerovnicima i Inprox Zagreb Sesvete i I</w:t>
      </w:r>
      <w:r w:rsidRPr="00D37BCE" w:rsidR="00D37BCE">
        <w:rPr>
          <w:sz w:val="24"/>
          <w:szCs w:val="24"/>
        </w:rPr>
        <w:t>nprox Split neće</w:t>
      </w:r>
      <w:r w:rsidRPr="00D37BCE">
        <w:rPr>
          <w:sz w:val="24"/>
          <w:szCs w:val="24"/>
        </w:rPr>
        <w:t xml:space="preserve"> sudjelovali u raspodjeli tog iznosa;</w:t>
      </w:r>
    </w:p>
    <w:p w:rsidRPr="00EE52A5" w:rsidR="004C4712" w:rsidP="004C4712" w:rsidRDefault="004C4712">
      <w:pPr>
        <w:jc w:val="both"/>
        <w:rPr>
          <w:sz w:val="24"/>
          <w:szCs w:val="24"/>
        </w:rPr>
      </w:pPr>
      <w:r w:rsidRPr="00EE52A5">
        <w:rPr>
          <w:sz w:val="24"/>
          <w:szCs w:val="24"/>
        </w:rPr>
        <w:t xml:space="preserve">(iii) iznos od HRK 1.000.000,00 rezerviran za troškove parnica s društvima Inprox Zagreb Sesvete i Inprox Split </w:t>
      </w:r>
      <w:r w:rsidRPr="00EE52A5" w:rsidR="00EE52A5">
        <w:rPr>
          <w:sz w:val="24"/>
          <w:szCs w:val="24"/>
        </w:rPr>
        <w:t xml:space="preserve">iskoristit će se </w:t>
      </w:r>
      <w:r w:rsidR="00EE52A5">
        <w:rPr>
          <w:sz w:val="24"/>
          <w:szCs w:val="24"/>
        </w:rPr>
        <w:t>na način:</w:t>
      </w:r>
    </w:p>
    <w:p w:rsidRPr="006332BF" w:rsidR="004C4712" w:rsidP="004C4712" w:rsidRDefault="004C4712">
      <w:pPr>
        <w:jc w:val="both"/>
        <w:rPr>
          <w:sz w:val="24"/>
          <w:szCs w:val="24"/>
        </w:rPr>
      </w:pPr>
      <w:r w:rsidRPr="006332BF">
        <w:rPr>
          <w:sz w:val="24"/>
          <w:szCs w:val="24"/>
        </w:rPr>
        <w:t>a) Inprox Zagreb</w:t>
      </w:r>
      <w:r w:rsidRPr="006332BF" w:rsidR="006332BF">
        <w:rPr>
          <w:sz w:val="24"/>
          <w:szCs w:val="24"/>
        </w:rPr>
        <w:t xml:space="preserve"> Sesvete i Inprox Split primit će </w:t>
      </w:r>
      <w:r w:rsidRPr="006332BF">
        <w:rPr>
          <w:sz w:val="24"/>
          <w:szCs w:val="24"/>
        </w:rPr>
        <w:t>plaćanje 10% od ukupnog iznosa (odnosno HRK 50.000,00 svakom društvu) radi pokrića materijalnih troškova proizašlih iz tih postupaka, i</w:t>
      </w:r>
    </w:p>
    <w:p w:rsidRPr="00FC6429" w:rsidR="004C4712" w:rsidP="004C4712" w:rsidRDefault="004C4712">
      <w:pPr>
        <w:jc w:val="both"/>
        <w:rPr>
          <w:sz w:val="24"/>
          <w:szCs w:val="24"/>
        </w:rPr>
      </w:pPr>
      <w:r w:rsidRPr="00A05506">
        <w:rPr>
          <w:sz w:val="24"/>
          <w:szCs w:val="24"/>
        </w:rPr>
        <w:t xml:space="preserve">b) društvu Inprox Zagreb Sesvete </w:t>
      </w:r>
      <w:r w:rsidRPr="00A05506" w:rsidR="00A05506">
        <w:rPr>
          <w:sz w:val="24"/>
          <w:szCs w:val="24"/>
        </w:rPr>
        <w:t>platit će se</w:t>
      </w:r>
      <w:r w:rsidRPr="00A05506">
        <w:rPr>
          <w:sz w:val="24"/>
          <w:szCs w:val="24"/>
        </w:rPr>
        <w:t xml:space="preserve"> troškovi dosuđeni pravomoćnim sudskim odlukama u postupcima za izdavanje privremenih mjera u iznosu od HRK 45.867,50 (Pž-7264/2017-2) i HRK 44.300,00 (Ovr-33/2017)</w:t>
      </w:r>
      <w:r w:rsidRPr="00FC6429">
        <w:rPr>
          <w:sz w:val="24"/>
          <w:szCs w:val="24"/>
        </w:rPr>
        <w:t>,</w:t>
      </w:r>
      <w:r w:rsidR="00FC6429">
        <w:rPr>
          <w:sz w:val="24"/>
          <w:szCs w:val="24"/>
        </w:rPr>
        <w:t xml:space="preserve"> </w:t>
      </w:r>
      <w:r w:rsidRPr="00FC6429" w:rsidR="00FC6429">
        <w:rPr>
          <w:sz w:val="24"/>
          <w:szCs w:val="24"/>
        </w:rPr>
        <w:t>dok će se</w:t>
      </w:r>
      <w:r w:rsidRPr="00FC6429">
        <w:rPr>
          <w:sz w:val="24"/>
          <w:szCs w:val="24"/>
        </w:rPr>
        <w:t xml:space="preserve"> preos</w:t>
      </w:r>
      <w:r w:rsidRPr="00FC6429" w:rsidR="00FC6429">
        <w:rPr>
          <w:sz w:val="24"/>
          <w:szCs w:val="24"/>
        </w:rPr>
        <w:t>tali iznos od HRK 1.000.000,00 raspodijeliti</w:t>
      </w:r>
      <w:r w:rsidRPr="00FC6429">
        <w:rPr>
          <w:sz w:val="24"/>
          <w:szCs w:val="24"/>
        </w:rPr>
        <w:t xml:space="preserve"> ostalim vjerovnicima i Inprox Zag</w:t>
      </w:r>
      <w:r w:rsidRPr="00FC6429" w:rsidR="00FC6429">
        <w:rPr>
          <w:sz w:val="24"/>
          <w:szCs w:val="24"/>
        </w:rPr>
        <w:t>reb Sesvete i Inprox Split neće sudjelovati</w:t>
      </w:r>
      <w:r w:rsidRPr="00FC6429">
        <w:rPr>
          <w:sz w:val="24"/>
          <w:szCs w:val="24"/>
        </w:rPr>
        <w:t xml:space="preserve"> u raspodjeli preostalog iznosa; i</w:t>
      </w:r>
    </w:p>
    <w:p w:rsidRPr="00FC6429" w:rsidR="004C4712" w:rsidP="004C4712" w:rsidRDefault="004C4712">
      <w:pPr>
        <w:jc w:val="both"/>
        <w:rPr>
          <w:sz w:val="24"/>
          <w:szCs w:val="24"/>
        </w:rPr>
      </w:pPr>
      <w:r w:rsidRPr="00FC6429">
        <w:rPr>
          <w:sz w:val="24"/>
          <w:szCs w:val="24"/>
        </w:rPr>
        <w:t>(iv) preostali iznosi oba pologa od 3.543.183,15 kuna i 3.619.389,97 kuna, koje su društva Inprox Zagreb Sesvete i Inprox Split primili prema ugovorima o zakupu sa steč</w:t>
      </w:r>
      <w:r w:rsidR="00FC6429">
        <w:rPr>
          <w:sz w:val="24"/>
          <w:szCs w:val="24"/>
        </w:rPr>
        <w:t>aj</w:t>
      </w:r>
      <w:r w:rsidRPr="00FC6429">
        <w:rPr>
          <w:sz w:val="24"/>
          <w:szCs w:val="24"/>
        </w:rPr>
        <w:t>nim dužnikom, ostaju društvima Inprox Zagreb Sesvete i Inprox Split i ona ih nisu dužna platiti u stečajnu masu.</w:t>
      </w:r>
    </w:p>
    <w:p w:rsidR="004C4712" w:rsidP="00ED3538" w:rsidRDefault="004C4712">
      <w:pPr>
        <w:jc w:val="both"/>
        <w:rPr>
          <w:sz w:val="24"/>
          <w:szCs w:val="24"/>
        </w:rPr>
      </w:pPr>
    </w:p>
    <w:p w:rsidRPr="004D1CBA" w:rsidR="00C73BAA" w:rsidP="00ED3538" w:rsidRDefault="00ED3538">
      <w:pPr>
        <w:jc w:val="both"/>
        <w:rPr>
          <w:sz w:val="24"/>
          <w:szCs w:val="24"/>
        </w:rPr>
      </w:pPr>
      <w:r w:rsidRPr="004D1CBA">
        <w:rPr>
          <w:sz w:val="24"/>
          <w:szCs w:val="24"/>
        </w:rPr>
        <w:t>Nakon čega sudac utvrđuje da je današnje ročište-skupština</w:t>
      </w:r>
      <w:r w:rsidRPr="004D1CBA" w:rsidR="00A33ADD">
        <w:rPr>
          <w:sz w:val="24"/>
          <w:szCs w:val="24"/>
        </w:rPr>
        <w:t xml:space="preserve"> vj</w:t>
      </w:r>
      <w:r w:rsidR="00BC73D6">
        <w:rPr>
          <w:sz w:val="24"/>
          <w:szCs w:val="24"/>
        </w:rPr>
        <w:t>erovnika zaključila rad u  09,50</w:t>
      </w:r>
      <w:r w:rsidRPr="004D1CBA" w:rsidR="004F015D">
        <w:rPr>
          <w:sz w:val="24"/>
          <w:szCs w:val="24"/>
        </w:rPr>
        <w:t xml:space="preserve"> </w:t>
      </w:r>
      <w:r w:rsidRPr="004D1CBA">
        <w:rPr>
          <w:sz w:val="24"/>
          <w:szCs w:val="24"/>
        </w:rPr>
        <w:t>sati.</w:t>
      </w:r>
    </w:p>
    <w:tbl>
      <w:tblPr>
        <w:tblW w:w="0" w:type="auto"/>
        <w:tblLook w:firstRow="1" w:lastRow="1" w:firstColumn="1" w:lastColumn="1" w:noHBand="0" w:noVBand="0" w:val="01E0"/>
      </w:tblPr>
      <w:tblGrid>
        <w:gridCol w:w="2516"/>
        <w:gridCol w:w="3092"/>
        <w:gridCol w:w="3248"/>
      </w:tblGrid>
      <w:tr w:rsidRPr="004D1CBA" w:rsidR="004D1CBA" w:rsidTr="00ED3538">
        <w:tc>
          <w:tcPr>
            <w:tcW w:w="2516" w:type="dxa"/>
          </w:tcPr>
          <w:p w:rsidRPr="004D1CBA" w:rsidR="00ED3538" w:rsidP="00994EFE" w:rsidRDefault="00ED3538">
            <w:pPr>
              <w:rPr>
                <w:sz w:val="24"/>
                <w:szCs w:val="24"/>
                <w:lang w:eastAsia="en-US"/>
              </w:rPr>
            </w:pPr>
          </w:p>
          <w:p w:rsidRPr="004D1CBA" w:rsidR="00ED3538" w:rsidRDefault="00ED3538">
            <w:pPr>
              <w:rPr>
                <w:sz w:val="24"/>
                <w:szCs w:val="24"/>
                <w:lang w:eastAsia="en-US"/>
              </w:rPr>
            </w:pPr>
            <w:r w:rsidRPr="004D1CBA">
              <w:rPr>
                <w:sz w:val="24"/>
                <w:szCs w:val="24"/>
                <w:lang w:eastAsia="en-US"/>
              </w:rPr>
              <w:t>Stečajni upravitelj:</w:t>
            </w:r>
          </w:p>
          <w:p w:rsidRPr="004D1CBA" w:rsidR="00ED3538" w:rsidRDefault="00ED3538">
            <w:pPr>
              <w:jc w:val="center"/>
              <w:rPr>
                <w:sz w:val="24"/>
                <w:szCs w:val="24"/>
                <w:lang w:eastAsia="en-US"/>
              </w:rPr>
            </w:pPr>
          </w:p>
          <w:p w:rsidRPr="004D1CBA" w:rsidR="00ED3538" w:rsidRDefault="00ED3538">
            <w:pPr>
              <w:jc w:val="center"/>
              <w:rPr>
                <w:sz w:val="24"/>
                <w:szCs w:val="24"/>
                <w:lang w:eastAsia="en-US"/>
              </w:rPr>
            </w:pPr>
          </w:p>
          <w:p w:rsidRPr="004D1CBA" w:rsidR="00ED3538" w:rsidRDefault="00ED3538">
            <w:pPr>
              <w:rPr>
                <w:sz w:val="24"/>
                <w:szCs w:val="24"/>
                <w:lang w:eastAsia="en-US"/>
              </w:rPr>
            </w:pPr>
          </w:p>
          <w:p w:rsidRPr="004D1CBA" w:rsidR="00ED3538" w:rsidRDefault="00ED3538">
            <w:pPr>
              <w:rPr>
                <w:sz w:val="24"/>
                <w:szCs w:val="24"/>
                <w:lang w:eastAsia="en-US"/>
              </w:rPr>
            </w:pPr>
          </w:p>
        </w:tc>
        <w:tc>
          <w:tcPr>
            <w:tcW w:w="3092" w:type="dxa"/>
            <w:vAlign w:val="center"/>
            <w:hideMark/>
          </w:tcPr>
          <w:p w:rsidRPr="004D1CBA" w:rsidR="00ED3538" w:rsidRDefault="00ED3538">
            <w:pPr>
              <w:jc w:val="center"/>
              <w:rPr>
                <w:sz w:val="24"/>
                <w:szCs w:val="24"/>
                <w:lang w:eastAsia="en-US"/>
              </w:rPr>
            </w:pPr>
            <w:r w:rsidRPr="004D1CBA">
              <w:rPr>
                <w:sz w:val="24"/>
                <w:szCs w:val="24"/>
                <w:lang w:eastAsia="en-US"/>
              </w:rPr>
              <w:t>Sudac:</w:t>
            </w:r>
          </w:p>
          <w:p w:rsidRPr="004D1CBA" w:rsidR="00ED3538" w:rsidRDefault="00ED3538">
            <w:pPr>
              <w:jc w:val="center"/>
              <w:rPr>
                <w:sz w:val="24"/>
                <w:szCs w:val="24"/>
                <w:lang w:eastAsia="en-US"/>
              </w:rPr>
            </w:pPr>
            <w:r w:rsidRPr="004D1CBA">
              <w:rPr>
                <w:sz w:val="24"/>
                <w:szCs w:val="24"/>
                <w:lang w:eastAsia="en-US"/>
              </w:rPr>
              <w:t>Nikola Ribarić</w:t>
            </w:r>
          </w:p>
        </w:tc>
        <w:tc>
          <w:tcPr>
            <w:tcW w:w="3248" w:type="dxa"/>
            <w:vAlign w:val="center"/>
          </w:tcPr>
          <w:p w:rsidRPr="004D1CBA" w:rsidR="00ED3538" w:rsidRDefault="00ED3538">
            <w:pPr>
              <w:jc w:val="center"/>
              <w:rPr>
                <w:sz w:val="24"/>
                <w:szCs w:val="24"/>
                <w:lang w:eastAsia="en-US"/>
              </w:rPr>
            </w:pPr>
            <w:r w:rsidRPr="004D1CBA">
              <w:rPr>
                <w:sz w:val="24"/>
                <w:szCs w:val="24"/>
                <w:lang w:eastAsia="en-US"/>
              </w:rPr>
              <w:t>Stranke:</w:t>
            </w:r>
          </w:p>
          <w:p w:rsidRPr="004D1CBA" w:rsidR="00ED3538" w:rsidRDefault="00ED3538">
            <w:pPr>
              <w:rPr>
                <w:sz w:val="24"/>
                <w:szCs w:val="24"/>
                <w:lang w:eastAsia="en-US"/>
              </w:rPr>
            </w:pPr>
          </w:p>
        </w:tc>
      </w:tr>
      <w:tr w:rsidRPr="004D1CBA" w:rsidR="004D1CBA" w:rsidTr="00ED3538">
        <w:trPr>
          <w:trHeight w:val="2145"/>
        </w:trPr>
        <w:tc>
          <w:tcPr>
            <w:tcW w:w="2516" w:type="dxa"/>
          </w:tcPr>
          <w:p w:rsidRPr="004D1CBA" w:rsidR="00ED3538" w:rsidRDefault="00ED3538">
            <w:pPr>
              <w:rPr>
                <w:sz w:val="24"/>
                <w:szCs w:val="24"/>
                <w:lang w:eastAsia="en-US"/>
              </w:rPr>
            </w:pPr>
          </w:p>
        </w:tc>
        <w:tc>
          <w:tcPr>
            <w:tcW w:w="3092" w:type="dxa"/>
            <w:vAlign w:val="center"/>
          </w:tcPr>
          <w:p w:rsidRPr="004D1CBA" w:rsidR="00ED3538" w:rsidRDefault="008355FD">
            <w:pPr>
              <w:pBdr>
                <w:bottom w:val="single" w:color="auto" w:sz="12" w:space="1"/>
              </w:pBdr>
              <w:jc w:val="center"/>
              <w:rPr>
                <w:sz w:val="24"/>
                <w:szCs w:val="24"/>
                <w:lang w:eastAsia="en-US"/>
              </w:rPr>
            </w:pPr>
            <w:r>
              <w:rPr>
                <w:sz w:val="24"/>
                <w:szCs w:val="24"/>
                <w:lang w:eastAsia="en-US"/>
              </w:rPr>
              <w:t xml:space="preserve"> </w:t>
            </w:r>
            <w:r w:rsidRPr="004D1CBA" w:rsidR="00ED3538">
              <w:rPr>
                <w:sz w:val="24"/>
                <w:szCs w:val="24"/>
                <w:lang w:eastAsia="en-US"/>
              </w:rPr>
              <w:t xml:space="preserve">                                                                                                                                                                                                                                                                                                                                                                                                                                                                                                                                                                                                                                                                                                                                                                                        </w:t>
            </w:r>
          </w:p>
          <w:p w:rsidRPr="004D1CBA" w:rsidR="00ED3538" w:rsidRDefault="00ED3538">
            <w:pPr>
              <w:jc w:val="center"/>
              <w:rPr>
                <w:sz w:val="24"/>
                <w:szCs w:val="24"/>
                <w:lang w:eastAsia="en-US"/>
              </w:rPr>
            </w:pPr>
            <w:r w:rsidRPr="004D1CBA">
              <w:rPr>
                <w:sz w:val="24"/>
                <w:szCs w:val="24"/>
                <w:lang w:eastAsia="en-US"/>
              </w:rPr>
              <w:t>Potpis suca</w:t>
            </w:r>
          </w:p>
          <w:p w:rsidRPr="004D1CBA" w:rsidR="00ED3538" w:rsidRDefault="00ED3538">
            <w:pPr>
              <w:jc w:val="center"/>
              <w:rPr>
                <w:sz w:val="24"/>
                <w:szCs w:val="24"/>
                <w:lang w:eastAsia="en-US"/>
              </w:rPr>
            </w:pPr>
          </w:p>
          <w:p w:rsidRPr="004D1CBA" w:rsidR="00ED3538" w:rsidRDefault="00ED3538">
            <w:pPr>
              <w:jc w:val="center"/>
              <w:rPr>
                <w:sz w:val="24"/>
                <w:szCs w:val="24"/>
                <w:lang w:eastAsia="en-US"/>
              </w:rPr>
            </w:pPr>
          </w:p>
        </w:tc>
        <w:tc>
          <w:tcPr>
            <w:tcW w:w="3248" w:type="dxa"/>
            <w:vAlign w:val="center"/>
          </w:tcPr>
          <w:p w:rsidRPr="004D1CBA" w:rsidR="00ED3538" w:rsidRDefault="00ED3538">
            <w:pPr>
              <w:pBdr>
                <w:bottom w:val="single" w:color="auto" w:sz="12" w:space="1"/>
              </w:pBdr>
              <w:rPr>
                <w:sz w:val="24"/>
                <w:szCs w:val="24"/>
                <w:lang w:eastAsia="en-US"/>
              </w:rPr>
            </w:pPr>
          </w:p>
          <w:p w:rsidRPr="004D1CBA" w:rsidR="00ED3538" w:rsidRDefault="00ED3538">
            <w:pPr>
              <w:pBdr>
                <w:bottom w:val="single" w:color="auto" w:sz="12" w:space="1"/>
              </w:pBdr>
              <w:jc w:val="center"/>
              <w:rPr>
                <w:sz w:val="24"/>
                <w:szCs w:val="24"/>
                <w:lang w:eastAsia="en-US"/>
              </w:rPr>
            </w:pPr>
          </w:p>
          <w:p w:rsidRPr="004D1CBA" w:rsidR="00ED3538" w:rsidRDefault="00ED3538">
            <w:pPr>
              <w:jc w:val="center"/>
              <w:rPr>
                <w:sz w:val="24"/>
                <w:szCs w:val="24"/>
                <w:lang w:eastAsia="en-US"/>
              </w:rPr>
            </w:pPr>
            <w:r w:rsidRPr="004D1CBA">
              <w:rPr>
                <w:sz w:val="24"/>
                <w:szCs w:val="24"/>
                <w:lang w:eastAsia="en-US"/>
              </w:rPr>
              <w:t>Potpisi stranaka</w:t>
            </w:r>
          </w:p>
          <w:p w:rsidRPr="004D1CBA" w:rsidR="00ED3538" w:rsidRDefault="00ED3538">
            <w:pPr>
              <w:pBdr>
                <w:bottom w:val="single" w:color="auto" w:sz="12" w:space="1"/>
              </w:pBdr>
              <w:jc w:val="center"/>
              <w:rPr>
                <w:sz w:val="24"/>
                <w:szCs w:val="24"/>
                <w:lang w:eastAsia="en-US"/>
              </w:rPr>
            </w:pPr>
          </w:p>
          <w:p w:rsidRPr="004D1CBA" w:rsidR="00ED3538" w:rsidRDefault="00ED3538">
            <w:pPr>
              <w:pBdr>
                <w:bottom w:val="single" w:color="auto" w:sz="12" w:space="1"/>
              </w:pBdr>
              <w:jc w:val="center"/>
              <w:rPr>
                <w:sz w:val="24"/>
                <w:szCs w:val="24"/>
                <w:lang w:eastAsia="en-US"/>
              </w:rPr>
            </w:pPr>
          </w:p>
          <w:p w:rsidRPr="004D1CBA" w:rsidR="00ED3538" w:rsidRDefault="00ED3538">
            <w:pPr>
              <w:jc w:val="center"/>
              <w:rPr>
                <w:sz w:val="24"/>
                <w:szCs w:val="24"/>
                <w:lang w:eastAsia="en-US"/>
              </w:rPr>
            </w:pPr>
            <w:r w:rsidRPr="004D1CBA">
              <w:rPr>
                <w:sz w:val="24"/>
                <w:szCs w:val="24"/>
                <w:lang w:eastAsia="en-US"/>
              </w:rPr>
              <w:t>Potpisi stranaka</w:t>
            </w:r>
          </w:p>
        </w:tc>
      </w:tr>
      <w:tr w:rsidRPr="004D1CBA" w:rsidR="00ED3538" w:rsidTr="00ED3538">
        <w:tc>
          <w:tcPr>
            <w:tcW w:w="2516" w:type="dxa"/>
          </w:tcPr>
          <w:p w:rsidRPr="004D1CBA" w:rsidR="00ED3538" w:rsidRDefault="00ED3538">
            <w:pPr>
              <w:jc w:val="center"/>
              <w:rPr>
                <w:sz w:val="24"/>
                <w:szCs w:val="24"/>
                <w:lang w:eastAsia="en-US"/>
              </w:rPr>
            </w:pPr>
          </w:p>
        </w:tc>
        <w:tc>
          <w:tcPr>
            <w:tcW w:w="3092" w:type="dxa"/>
            <w:vAlign w:val="center"/>
          </w:tcPr>
          <w:p w:rsidRPr="004D1CBA" w:rsidR="008355FD" w:rsidP="008355FD" w:rsidRDefault="008355FD">
            <w:pPr>
              <w:rPr>
                <w:sz w:val="24"/>
                <w:szCs w:val="24"/>
                <w:lang w:eastAsia="en-US"/>
              </w:rPr>
            </w:pPr>
            <w:r>
              <w:rPr>
                <w:sz w:val="24"/>
                <w:szCs w:val="24"/>
                <w:lang w:eastAsia="en-US"/>
              </w:rPr>
              <w:t xml:space="preserve">                </w:t>
            </w:r>
            <w:r w:rsidRPr="004D1CBA" w:rsidR="00ED3538">
              <w:rPr>
                <w:sz w:val="24"/>
                <w:szCs w:val="24"/>
                <w:lang w:eastAsia="en-US"/>
              </w:rPr>
              <w:t>Zapisničar:</w:t>
            </w:r>
          </w:p>
          <w:p w:rsidRPr="004D1CBA" w:rsidR="00ED3538" w:rsidRDefault="00ED3538">
            <w:pPr>
              <w:pBdr>
                <w:bottom w:val="single" w:color="auto" w:sz="12" w:space="1"/>
              </w:pBdr>
              <w:jc w:val="center"/>
              <w:rPr>
                <w:sz w:val="24"/>
                <w:szCs w:val="24"/>
                <w:lang w:eastAsia="en-US"/>
              </w:rPr>
            </w:pPr>
            <w:r w:rsidRPr="004D1CBA">
              <w:rPr>
                <w:sz w:val="24"/>
                <w:szCs w:val="24"/>
                <w:lang w:eastAsia="en-US"/>
              </w:rPr>
              <w:t>Maja Hajtek</w:t>
            </w:r>
          </w:p>
          <w:p w:rsidRPr="004D1CBA" w:rsidR="00ED3538" w:rsidRDefault="00ED3538">
            <w:pPr>
              <w:pBdr>
                <w:bottom w:val="single" w:color="auto" w:sz="12" w:space="1"/>
              </w:pBdr>
              <w:jc w:val="center"/>
              <w:rPr>
                <w:sz w:val="24"/>
                <w:szCs w:val="24"/>
                <w:lang w:eastAsia="en-US"/>
              </w:rPr>
            </w:pPr>
          </w:p>
          <w:p w:rsidRPr="004D1CBA" w:rsidR="00ED3538" w:rsidRDefault="00ED3538">
            <w:pPr>
              <w:jc w:val="center"/>
              <w:rPr>
                <w:sz w:val="24"/>
                <w:szCs w:val="24"/>
                <w:lang w:eastAsia="en-US"/>
              </w:rPr>
            </w:pPr>
            <w:r w:rsidRPr="004D1CBA">
              <w:rPr>
                <w:sz w:val="24"/>
                <w:szCs w:val="24"/>
                <w:lang w:eastAsia="en-US"/>
              </w:rPr>
              <w:t>Potpis zapisničara</w:t>
            </w:r>
          </w:p>
        </w:tc>
        <w:tc>
          <w:tcPr>
            <w:tcW w:w="3248" w:type="dxa"/>
            <w:vAlign w:val="center"/>
          </w:tcPr>
          <w:p w:rsidRPr="004D1CBA" w:rsidR="00ED3538" w:rsidRDefault="00ED3538">
            <w:pPr>
              <w:jc w:val="center"/>
              <w:rPr>
                <w:sz w:val="24"/>
                <w:szCs w:val="24"/>
                <w:lang w:eastAsia="en-US"/>
              </w:rPr>
            </w:pPr>
          </w:p>
        </w:tc>
      </w:tr>
    </w:tbl>
    <w:p w:rsidRPr="004D1CBA" w:rsidR="00DD5D87" w:rsidRDefault="00DD5D87">
      <w:pPr>
        <w:rPr>
          <w:sz w:val="24"/>
          <w:szCs w:val="24"/>
        </w:rPr>
      </w:pPr>
    </w:p>
    <w:sectPr w:rsidRPr="004D1CBA" w:rsidR="00DD5D87" w:rsidSect="008355FD">
      <w:headerReference w:type="default" r:id="rId10"/>
      <w:footerReference w:type="default" r:id="rId11"/>
      <w:pgSz w:w="11906" w:h="16838"/>
      <w:pgMar w:top="1110" w:right="1417" w:bottom="1135"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7225B" w:rsidP="00ED3538" w:rsidRDefault="00D7225B">
      <w:r>
        <w:separator/>
      </w:r>
    </w:p>
  </w:endnote>
  <w:endnote w:type="continuationSeparator" w:id="0">
    <w:p w:rsidR="00D7225B" w:rsidP="00ED3538" w:rsidRDefault="00D7225B">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86165305"/>
      <w:docPartObj>
        <w:docPartGallery w:val="Page Numbers (Bottom of Page)"/>
        <w:docPartUnique/>
      </w:docPartObj>
    </w:sdtPr>
    <w:sdtEndPr/>
    <w:sdtContent>
      <w:p w:rsidR="001B77AC" w:rsidRDefault="001B77AC">
        <w:pPr>
          <w:pStyle w:val="Podnoje"/>
          <w:jc w:val="center"/>
        </w:pPr>
        <w:r>
          <w:fldChar w:fldCharType="begin"/>
        </w:r>
        <w:r>
          <w:instrText>PAGE   \* MERGEFORMAT</w:instrText>
        </w:r>
        <w:r>
          <w:fldChar w:fldCharType="separate"/>
        </w:r>
        <w:r w:rsidR="00CF4DE6">
          <w:rPr>
            <w:noProof/>
          </w:rPr>
          <w:t>3</w:t>
        </w:r>
        <w:r>
          <w:fldChar w:fldCharType="end"/>
        </w:r>
      </w:p>
    </w:sdtContent>
  </w:sdt>
  <w:p w:rsidR="001B77AC" w:rsidRDefault="001B77AC">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7225B" w:rsidP="00ED3538" w:rsidRDefault="00D7225B">
      <w:r>
        <w:separator/>
      </w:r>
    </w:p>
  </w:footnote>
  <w:footnote w:type="continuationSeparator" w:id="0">
    <w:p w:rsidR="00D7225B" w:rsidP="00ED3538" w:rsidRDefault="00D7225B">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55FD" w:rsidR="000A3269" w:rsidP="000A3269" w:rsidRDefault="000A3269">
    <w:pPr>
      <w:pStyle w:val="Zaglavlje"/>
      <w:jc w:val="right"/>
      <w:rPr>
        <w:sz w:val="24"/>
        <w:szCs w:val="24"/>
      </w:rPr>
    </w:pPr>
    <w:r>
      <w:rPr>
        <w:sz w:val="24"/>
        <w:szCs w:val="24"/>
      </w:rPr>
      <w:t>72. St-1204/2021</w:t>
    </w:r>
  </w:p>
  <w:p w:rsidRPr="000A3269" w:rsidR="00ED3538" w:rsidP="000A3269" w:rsidRDefault="00ED3538">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DF491F"/>
    <w:multiLevelType w:val="hybridMultilevel"/>
    <w:tmpl w:val="DB26CDD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CCE41C9"/>
    <w:multiLevelType w:val="hybridMultilevel"/>
    <w:tmpl w:val="D6644808"/>
    <w:lvl w:ilvl="0" w:tplc="4B9AAC84">
      <w:start w:val="72"/>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
    <w:nsid w:val="1CD259D1"/>
    <w:multiLevelType w:val="hybridMultilevel"/>
    <w:tmpl w:val="BFCEBD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8353796"/>
    <w:multiLevelType w:val="hybridMultilevel"/>
    <w:tmpl w:val="BFCEBD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D9D18F2"/>
    <w:multiLevelType w:val="hybridMultilevel"/>
    <w:tmpl w:val="F15620D0"/>
    <w:lvl w:ilvl="0" w:tplc="9CB2DF74">
      <w:start w:val="1"/>
      <w:numFmt w:val="decimal"/>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5">
    <w:nsid w:val="3E877FB0"/>
    <w:multiLevelType w:val="hybridMultilevel"/>
    <w:tmpl w:val="70BC7CA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1FA4C17"/>
    <w:multiLevelType w:val="hybridMultilevel"/>
    <w:tmpl w:val="DB26CDD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499F147A"/>
    <w:multiLevelType w:val="hybridMultilevel"/>
    <w:tmpl w:val="F15620D0"/>
    <w:lvl w:ilvl="0" w:tplc="9CB2DF74">
      <w:start w:val="1"/>
      <w:numFmt w:val="decimal"/>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8">
    <w:nsid w:val="507F4CBA"/>
    <w:multiLevelType w:val="hybridMultilevel"/>
    <w:tmpl w:val="70BC7CA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7AA6109E"/>
    <w:multiLevelType w:val="hybridMultilevel"/>
    <w:tmpl w:val="5A96A77E"/>
    <w:lvl w:ilvl="0" w:tplc="630087B2">
      <w:start w:val="72"/>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10">
    <w:nsid w:val="7B4B3AF1"/>
    <w:multiLevelType w:val="hybridMultilevel"/>
    <w:tmpl w:val="F15620D0"/>
    <w:lvl w:ilvl="0" w:tplc="9CB2DF74">
      <w:start w:val="1"/>
      <w:numFmt w:val="decimal"/>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num w:numId="1">
    <w:abstractNumId w:val="9"/>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0"/>
  </w:num>
  <w:num w:numId="6">
    <w:abstractNumId w:val="0"/>
  </w:num>
  <w:num w:numId="7">
    <w:abstractNumId w:val="6"/>
  </w:num>
  <w:num w:numId="8">
    <w:abstractNumId w:val="1"/>
  </w:num>
  <w:num w:numId="9">
    <w:abstractNumId w:val="5"/>
  </w:num>
  <w:num w:numId="10">
    <w:abstractNumId w:val="8"/>
  </w:num>
  <w:num w:numId="11">
    <w:abstractNumId w:val="3"/>
  </w:num>
  <w:num w:numId="12">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538"/>
    <w:rsid w:val="00007487"/>
    <w:rsid w:val="00025A49"/>
    <w:rsid w:val="00033DF6"/>
    <w:rsid w:val="00053D80"/>
    <w:rsid w:val="000661CD"/>
    <w:rsid w:val="00070124"/>
    <w:rsid w:val="000A17AB"/>
    <w:rsid w:val="000A3269"/>
    <w:rsid w:val="000B3AF0"/>
    <w:rsid w:val="000E35CD"/>
    <w:rsid w:val="000E4EB1"/>
    <w:rsid w:val="00124906"/>
    <w:rsid w:val="00143BA3"/>
    <w:rsid w:val="001667F1"/>
    <w:rsid w:val="001706A5"/>
    <w:rsid w:val="001808F9"/>
    <w:rsid w:val="001822A7"/>
    <w:rsid w:val="00185BBA"/>
    <w:rsid w:val="00185F70"/>
    <w:rsid w:val="001A7E04"/>
    <w:rsid w:val="001B77AC"/>
    <w:rsid w:val="002133F5"/>
    <w:rsid w:val="00215F03"/>
    <w:rsid w:val="00221D8A"/>
    <w:rsid w:val="00231E1C"/>
    <w:rsid w:val="002330CC"/>
    <w:rsid w:val="00266EA4"/>
    <w:rsid w:val="00277666"/>
    <w:rsid w:val="00287341"/>
    <w:rsid w:val="0029436E"/>
    <w:rsid w:val="00295F83"/>
    <w:rsid w:val="002A04BE"/>
    <w:rsid w:val="002D05BA"/>
    <w:rsid w:val="002D318A"/>
    <w:rsid w:val="002D3B00"/>
    <w:rsid w:val="002D5117"/>
    <w:rsid w:val="002E73E7"/>
    <w:rsid w:val="00313107"/>
    <w:rsid w:val="00330B58"/>
    <w:rsid w:val="003360A9"/>
    <w:rsid w:val="003540D6"/>
    <w:rsid w:val="00366B81"/>
    <w:rsid w:val="00395F3A"/>
    <w:rsid w:val="003B346F"/>
    <w:rsid w:val="003C3758"/>
    <w:rsid w:val="003F0DF1"/>
    <w:rsid w:val="004155A3"/>
    <w:rsid w:val="00415E1A"/>
    <w:rsid w:val="00434EED"/>
    <w:rsid w:val="0044291B"/>
    <w:rsid w:val="0048058E"/>
    <w:rsid w:val="0049609B"/>
    <w:rsid w:val="004C42B5"/>
    <w:rsid w:val="004C4712"/>
    <w:rsid w:val="004C5527"/>
    <w:rsid w:val="004D1CBA"/>
    <w:rsid w:val="004F015D"/>
    <w:rsid w:val="004F1522"/>
    <w:rsid w:val="00503490"/>
    <w:rsid w:val="005128B3"/>
    <w:rsid w:val="00523EF4"/>
    <w:rsid w:val="00562AC3"/>
    <w:rsid w:val="005702AE"/>
    <w:rsid w:val="00576EEA"/>
    <w:rsid w:val="00581174"/>
    <w:rsid w:val="0058271E"/>
    <w:rsid w:val="00586434"/>
    <w:rsid w:val="005F2FB9"/>
    <w:rsid w:val="006026D5"/>
    <w:rsid w:val="0060308E"/>
    <w:rsid w:val="00625F07"/>
    <w:rsid w:val="0063230B"/>
    <w:rsid w:val="006332BF"/>
    <w:rsid w:val="0064205F"/>
    <w:rsid w:val="006479DA"/>
    <w:rsid w:val="0065369B"/>
    <w:rsid w:val="00660A90"/>
    <w:rsid w:val="00663704"/>
    <w:rsid w:val="006822CA"/>
    <w:rsid w:val="00691833"/>
    <w:rsid w:val="006A712C"/>
    <w:rsid w:val="006B69C0"/>
    <w:rsid w:val="006C7459"/>
    <w:rsid w:val="00703E0E"/>
    <w:rsid w:val="00721DA8"/>
    <w:rsid w:val="007333CA"/>
    <w:rsid w:val="00736EA6"/>
    <w:rsid w:val="00747278"/>
    <w:rsid w:val="00766791"/>
    <w:rsid w:val="0077280D"/>
    <w:rsid w:val="00797247"/>
    <w:rsid w:val="007C40D1"/>
    <w:rsid w:val="007D1AB7"/>
    <w:rsid w:val="007D5966"/>
    <w:rsid w:val="007D65B7"/>
    <w:rsid w:val="00807614"/>
    <w:rsid w:val="0081353D"/>
    <w:rsid w:val="008165AA"/>
    <w:rsid w:val="00832548"/>
    <w:rsid w:val="008355FD"/>
    <w:rsid w:val="008C1436"/>
    <w:rsid w:val="008D29D9"/>
    <w:rsid w:val="008D47ED"/>
    <w:rsid w:val="008D4C7F"/>
    <w:rsid w:val="008E4D80"/>
    <w:rsid w:val="008F3905"/>
    <w:rsid w:val="00905720"/>
    <w:rsid w:val="00932504"/>
    <w:rsid w:val="00982A7B"/>
    <w:rsid w:val="00994ED4"/>
    <w:rsid w:val="00994EFE"/>
    <w:rsid w:val="009A062D"/>
    <w:rsid w:val="009B548C"/>
    <w:rsid w:val="009C5568"/>
    <w:rsid w:val="009C737F"/>
    <w:rsid w:val="009C764E"/>
    <w:rsid w:val="00A05506"/>
    <w:rsid w:val="00A13632"/>
    <w:rsid w:val="00A32A1D"/>
    <w:rsid w:val="00A33ADD"/>
    <w:rsid w:val="00A45832"/>
    <w:rsid w:val="00A50102"/>
    <w:rsid w:val="00A5480E"/>
    <w:rsid w:val="00A70D5F"/>
    <w:rsid w:val="00A7117C"/>
    <w:rsid w:val="00A75E3A"/>
    <w:rsid w:val="00A82BDD"/>
    <w:rsid w:val="00A85CC0"/>
    <w:rsid w:val="00AA3566"/>
    <w:rsid w:val="00AA43C3"/>
    <w:rsid w:val="00AA6D37"/>
    <w:rsid w:val="00AC0C6C"/>
    <w:rsid w:val="00AD6E85"/>
    <w:rsid w:val="00AE02BB"/>
    <w:rsid w:val="00AE3900"/>
    <w:rsid w:val="00AF0984"/>
    <w:rsid w:val="00B11D0A"/>
    <w:rsid w:val="00B21183"/>
    <w:rsid w:val="00B221EC"/>
    <w:rsid w:val="00B37D01"/>
    <w:rsid w:val="00B50EF2"/>
    <w:rsid w:val="00B64FB5"/>
    <w:rsid w:val="00B862B0"/>
    <w:rsid w:val="00BB49CD"/>
    <w:rsid w:val="00BC6931"/>
    <w:rsid w:val="00BC73D6"/>
    <w:rsid w:val="00BD12D7"/>
    <w:rsid w:val="00BF297B"/>
    <w:rsid w:val="00BF56BF"/>
    <w:rsid w:val="00C03250"/>
    <w:rsid w:val="00C05077"/>
    <w:rsid w:val="00C06935"/>
    <w:rsid w:val="00C2469C"/>
    <w:rsid w:val="00C25EFB"/>
    <w:rsid w:val="00C47576"/>
    <w:rsid w:val="00C73BAA"/>
    <w:rsid w:val="00C77861"/>
    <w:rsid w:val="00C923A1"/>
    <w:rsid w:val="00CB373E"/>
    <w:rsid w:val="00CE2710"/>
    <w:rsid w:val="00CF4DE6"/>
    <w:rsid w:val="00D10CDC"/>
    <w:rsid w:val="00D14164"/>
    <w:rsid w:val="00D15B52"/>
    <w:rsid w:val="00D166FA"/>
    <w:rsid w:val="00D17788"/>
    <w:rsid w:val="00D21C6A"/>
    <w:rsid w:val="00D37BCE"/>
    <w:rsid w:val="00D46E88"/>
    <w:rsid w:val="00D7225B"/>
    <w:rsid w:val="00D810C7"/>
    <w:rsid w:val="00D85951"/>
    <w:rsid w:val="00DB7228"/>
    <w:rsid w:val="00DC2E1E"/>
    <w:rsid w:val="00DD4251"/>
    <w:rsid w:val="00DD5D87"/>
    <w:rsid w:val="00E15CDF"/>
    <w:rsid w:val="00E546E2"/>
    <w:rsid w:val="00E66367"/>
    <w:rsid w:val="00E90943"/>
    <w:rsid w:val="00E96E48"/>
    <w:rsid w:val="00EA0206"/>
    <w:rsid w:val="00EA374B"/>
    <w:rsid w:val="00EB094B"/>
    <w:rsid w:val="00EB129E"/>
    <w:rsid w:val="00EC4D63"/>
    <w:rsid w:val="00EC4E25"/>
    <w:rsid w:val="00ED3538"/>
    <w:rsid w:val="00EE2D1D"/>
    <w:rsid w:val="00EE52A5"/>
    <w:rsid w:val="00EF4D1D"/>
    <w:rsid w:val="00F043AC"/>
    <w:rsid w:val="00F25FF2"/>
    <w:rsid w:val="00F27727"/>
    <w:rsid w:val="00F33C1E"/>
    <w:rsid w:val="00F57EDD"/>
    <w:rsid w:val="00F83143"/>
    <w:rsid w:val="00F96E9A"/>
    <w:rsid w:val="00FC6429"/>
    <w:rsid w:val="00FE36AE"/>
    <w:rsid w:val="00FF448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0"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Body Text 2" w:uiPriority="0"/>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D3538"/>
    <w:rPr>
      <w:rFonts w:eastAsia="Times New Roman" w:cs="Times New Roman"/>
      <w:sz w:val="22"/>
      <w:szCs w:val="20"/>
      <w:lang w:eastAsia="hr-HR"/>
    </w:rPr>
  </w:style>
  <w:style w:type="paragraph" w:styleId="Naslov2">
    <w:name w:val="heading 2"/>
    <w:basedOn w:val="Normal"/>
    <w:next w:val="Normal"/>
    <w:link w:val="Naslov2Char"/>
    <w:semiHidden/>
    <w:unhideWhenUsed/>
    <w:qFormat/>
    <w:rsid w:val="00ED3538"/>
    <w:pPr>
      <w:keepNext/>
      <w:outlineLvl w:val="1"/>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2Char" w:customStyle="true">
    <w:name w:val="Naslov 2 Char"/>
    <w:basedOn w:val="Zadanifontodlomka"/>
    <w:link w:val="Naslov2"/>
    <w:semiHidden/>
    <w:rsid w:val="00ED3538"/>
    <w:rPr>
      <w:rFonts w:eastAsia="Times New Roman" w:cs="Times New Roman"/>
      <w:b/>
      <w:szCs w:val="20"/>
      <w:lang w:eastAsia="hr-HR"/>
    </w:rPr>
  </w:style>
  <w:style w:type="paragraph" w:styleId="Tijeloteksta">
    <w:name w:val="Body Text"/>
    <w:basedOn w:val="Normal"/>
    <w:link w:val="TijelotekstaChar"/>
    <w:semiHidden/>
    <w:unhideWhenUsed/>
    <w:rsid w:val="00ED3538"/>
    <w:rPr>
      <w:sz w:val="20"/>
    </w:rPr>
  </w:style>
  <w:style w:type="character" w:styleId="TijelotekstaChar" w:customStyle="true">
    <w:name w:val="Tijelo teksta Char"/>
    <w:basedOn w:val="Zadanifontodlomka"/>
    <w:link w:val="Tijeloteksta"/>
    <w:semiHidden/>
    <w:rsid w:val="00ED3538"/>
    <w:rPr>
      <w:rFonts w:eastAsia="Times New Roman" w:cs="Times New Roman"/>
      <w:sz w:val="20"/>
      <w:szCs w:val="20"/>
      <w:lang w:eastAsia="hr-HR"/>
    </w:rPr>
  </w:style>
  <w:style w:type="paragraph" w:styleId="Tijeloteksta2">
    <w:name w:val="Body Text 2"/>
    <w:basedOn w:val="Normal"/>
    <w:link w:val="Tijeloteksta2Char"/>
    <w:semiHidden/>
    <w:unhideWhenUsed/>
    <w:rsid w:val="00ED3538"/>
    <w:pPr>
      <w:jc w:val="both"/>
    </w:pPr>
    <w:rPr>
      <w:sz w:val="24"/>
    </w:rPr>
  </w:style>
  <w:style w:type="character" w:styleId="Tijeloteksta2Char" w:customStyle="true">
    <w:name w:val="Tijelo teksta 2 Char"/>
    <w:basedOn w:val="Zadanifontodlomka"/>
    <w:link w:val="Tijeloteksta2"/>
    <w:semiHidden/>
    <w:rsid w:val="00ED3538"/>
    <w:rPr>
      <w:rFonts w:eastAsia="Times New Roman" w:cs="Times New Roman"/>
      <w:szCs w:val="20"/>
      <w:lang w:eastAsia="hr-HR"/>
    </w:rPr>
  </w:style>
  <w:style w:type="paragraph" w:styleId="Odlomakpopisa">
    <w:name w:val="List Paragraph"/>
    <w:basedOn w:val="Normal"/>
    <w:uiPriority w:val="34"/>
    <w:qFormat/>
    <w:rsid w:val="00ED3538"/>
    <w:pPr>
      <w:ind w:left="720"/>
      <w:contextualSpacing/>
    </w:pPr>
  </w:style>
  <w:style w:type="paragraph" w:styleId="Zaglavlje">
    <w:name w:val="header"/>
    <w:basedOn w:val="Normal"/>
    <w:link w:val="ZaglavljeChar"/>
    <w:uiPriority w:val="99"/>
    <w:unhideWhenUsed/>
    <w:rsid w:val="00ED3538"/>
    <w:pPr>
      <w:tabs>
        <w:tab w:val="center" w:pos="4536"/>
        <w:tab w:val="right" w:pos="9072"/>
      </w:tabs>
    </w:pPr>
  </w:style>
  <w:style w:type="character" w:styleId="ZaglavljeChar" w:customStyle="true">
    <w:name w:val="Zaglavlje Char"/>
    <w:basedOn w:val="Zadanifontodlomka"/>
    <w:link w:val="Zaglavlje"/>
    <w:uiPriority w:val="99"/>
    <w:rsid w:val="00ED3538"/>
    <w:rPr>
      <w:rFonts w:eastAsia="Times New Roman" w:cs="Times New Roman"/>
      <w:sz w:val="22"/>
      <w:szCs w:val="20"/>
      <w:lang w:eastAsia="hr-HR"/>
    </w:rPr>
  </w:style>
  <w:style w:type="paragraph" w:styleId="Podnoje">
    <w:name w:val="footer"/>
    <w:basedOn w:val="Normal"/>
    <w:link w:val="PodnojeChar"/>
    <w:uiPriority w:val="99"/>
    <w:unhideWhenUsed/>
    <w:rsid w:val="00ED3538"/>
    <w:pPr>
      <w:tabs>
        <w:tab w:val="center" w:pos="4536"/>
        <w:tab w:val="right" w:pos="9072"/>
      </w:tabs>
    </w:pPr>
  </w:style>
  <w:style w:type="character" w:styleId="PodnojeChar" w:customStyle="true">
    <w:name w:val="Podnožje Char"/>
    <w:basedOn w:val="Zadanifontodlomka"/>
    <w:link w:val="Podnoje"/>
    <w:uiPriority w:val="99"/>
    <w:rsid w:val="00ED3538"/>
    <w:rPr>
      <w:rFonts w:eastAsia="Times New Roman" w:cs="Times New Roman"/>
      <w:sz w:val="22"/>
      <w:szCs w:val="20"/>
      <w:lang w:eastAsia="hr-HR"/>
    </w:rPr>
  </w:style>
  <w:style w:type="paragraph" w:styleId="Tekstbalonia">
    <w:name w:val="Balloon Text"/>
    <w:basedOn w:val="Normal"/>
    <w:link w:val="TekstbaloniaChar"/>
    <w:uiPriority w:val="99"/>
    <w:semiHidden/>
    <w:unhideWhenUsed/>
    <w:rsid w:val="00ED3538"/>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D3538"/>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6A712C"/>
    <w:rPr>
      <w:color w:val="808080"/>
      <w:bdr w:val="none" w:color="auto" w:sz="0" w:space="0"/>
      <w:shd w:val="clear" w:color="auto" w:fill="auto"/>
    </w:rPr>
  </w:style>
  <w:style w:type="character" w:styleId="eSPISCCParagraphDefaultFont" w:customStyle="true">
    <w:name w:val="eSPIS_CC_Paragraph Default Font"/>
    <w:basedOn w:val="Zadanifontodlomka"/>
    <w:rsid w:val="006A712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6A712C"/>
    <w:rPr>
      <w:szCs w:val="24"/>
      <w:bdr w:val="none" w:color="auto" w:sz="0" w:space="0"/>
      <w:shd w:val="clear" w:color="auto" w:fill="FFFFCC"/>
      <w:lang w:val="hr-HR"/>
    </w:rPr>
  </w:style>
  <w:style w:type="character" w:styleId="PozadinaSvijetloCrvena" w:customStyle="true">
    <w:name w:val="Pozadina_SvijetloCrvena"/>
    <w:basedOn w:val="eSPISCCParagraphDefaultFont"/>
    <w:rsid w:val="006A712C"/>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A712C"/>
    <w:rPr>
      <w:rFonts w:ascii="Times New Roman" w:hAnsi="Times New Roman" w:cs="Times New Roman"/>
      <w:sz w:val="24"/>
      <w:szCs w:val="24"/>
      <w:bdr w:val="none" w:color="auto" w:sz="0" w:space="0"/>
      <w:shd w:val="clear" w:color="auto" w:fill="CCFFCC"/>
      <w:lang w:val="hr-HR"/>
    </w:rPr>
  </w:style>
  <w:style w:type="paragraph" w:styleId="Bezproreda">
    <w:name w:val="No Spacing"/>
    <w:uiPriority w:val="1"/>
    <w:qFormat/>
    <w:rsid w:val="00A50102"/>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3538"/>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ED3538"/>
    <w:pPr>
      <w:keepNext/>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ED3538"/>
    <w:rPr>
      <w:rFonts w:cs="Times New Roman" w:eastAsia="Times New Roman"/>
      <w:b/>
      <w:szCs w:val="20"/>
      <w:lang w:eastAsia="hr-HR"/>
    </w:rPr>
  </w:style>
  <w:style w:styleId="Tijeloteksta" w:type="paragraph">
    <w:name w:val="Body Text"/>
    <w:basedOn w:val="Normal"/>
    <w:link w:val="TijelotekstaChar"/>
    <w:semiHidden/>
    <w:unhideWhenUsed/>
    <w:rsid w:val="00ED3538"/>
    <w:rPr>
      <w:sz w:val="20"/>
    </w:rPr>
  </w:style>
  <w:style w:customStyle="1" w:styleId="TijelotekstaChar" w:type="character">
    <w:name w:val="Tijelo teksta Char"/>
    <w:basedOn w:val="Zadanifontodlomka"/>
    <w:link w:val="Tijeloteksta"/>
    <w:semiHidden/>
    <w:rsid w:val="00ED3538"/>
    <w:rPr>
      <w:rFonts w:cs="Times New Roman" w:eastAsia="Times New Roman"/>
      <w:sz w:val="20"/>
      <w:szCs w:val="20"/>
      <w:lang w:eastAsia="hr-HR"/>
    </w:rPr>
  </w:style>
  <w:style w:styleId="Tijeloteksta2" w:type="paragraph">
    <w:name w:val="Body Text 2"/>
    <w:basedOn w:val="Normal"/>
    <w:link w:val="Tijeloteksta2Char"/>
    <w:semiHidden/>
    <w:unhideWhenUsed/>
    <w:rsid w:val="00ED3538"/>
    <w:pPr>
      <w:jc w:val="both"/>
    </w:pPr>
    <w:rPr>
      <w:sz w:val="24"/>
    </w:rPr>
  </w:style>
  <w:style w:customStyle="1" w:styleId="Tijeloteksta2Char" w:type="character">
    <w:name w:val="Tijelo teksta 2 Char"/>
    <w:basedOn w:val="Zadanifontodlomka"/>
    <w:link w:val="Tijeloteksta2"/>
    <w:semiHidden/>
    <w:rsid w:val="00ED3538"/>
    <w:rPr>
      <w:rFonts w:cs="Times New Roman" w:eastAsia="Times New Roman"/>
      <w:szCs w:val="20"/>
      <w:lang w:eastAsia="hr-HR"/>
    </w:rPr>
  </w:style>
  <w:style w:styleId="Odlomakpopisa" w:type="paragraph">
    <w:name w:val="List Paragraph"/>
    <w:basedOn w:val="Normal"/>
    <w:uiPriority w:val="34"/>
    <w:qFormat/>
    <w:rsid w:val="00ED3538"/>
    <w:pPr>
      <w:ind w:left="720"/>
      <w:contextualSpacing/>
    </w:pPr>
  </w:style>
  <w:style w:styleId="Zaglavlje" w:type="paragraph">
    <w:name w:val="header"/>
    <w:basedOn w:val="Normal"/>
    <w:link w:val="ZaglavljeChar"/>
    <w:uiPriority w:val="99"/>
    <w:unhideWhenUsed/>
    <w:rsid w:val="00ED3538"/>
    <w:pPr>
      <w:tabs>
        <w:tab w:pos="4536" w:val="center"/>
        <w:tab w:pos="9072" w:val="right"/>
      </w:tabs>
    </w:pPr>
  </w:style>
  <w:style w:customStyle="1" w:styleId="ZaglavljeChar" w:type="character">
    <w:name w:val="Zaglavlje Char"/>
    <w:basedOn w:val="Zadanifontodlomka"/>
    <w:link w:val="Zaglavlje"/>
    <w:uiPriority w:val="99"/>
    <w:rsid w:val="00ED3538"/>
    <w:rPr>
      <w:rFonts w:cs="Times New Roman" w:eastAsia="Times New Roman"/>
      <w:sz w:val="22"/>
      <w:szCs w:val="20"/>
      <w:lang w:eastAsia="hr-HR"/>
    </w:rPr>
  </w:style>
  <w:style w:styleId="Podnoje" w:type="paragraph">
    <w:name w:val="footer"/>
    <w:basedOn w:val="Normal"/>
    <w:link w:val="PodnojeChar"/>
    <w:uiPriority w:val="99"/>
    <w:unhideWhenUsed/>
    <w:rsid w:val="00ED3538"/>
    <w:pPr>
      <w:tabs>
        <w:tab w:pos="4536" w:val="center"/>
        <w:tab w:pos="9072" w:val="right"/>
      </w:tabs>
    </w:pPr>
  </w:style>
  <w:style w:customStyle="1" w:styleId="PodnojeChar" w:type="character">
    <w:name w:val="Podnožje Char"/>
    <w:basedOn w:val="Zadanifontodlomka"/>
    <w:link w:val="Podnoje"/>
    <w:uiPriority w:val="99"/>
    <w:rsid w:val="00ED3538"/>
    <w:rPr>
      <w:rFonts w:cs="Times New Roman" w:eastAsia="Times New Roman"/>
      <w:sz w:val="22"/>
      <w:szCs w:val="20"/>
      <w:lang w:eastAsia="hr-HR"/>
    </w:rPr>
  </w:style>
  <w:style w:styleId="Tekstbalonia" w:type="paragraph">
    <w:name w:val="Balloon Text"/>
    <w:basedOn w:val="Normal"/>
    <w:link w:val="TekstbaloniaChar"/>
    <w:uiPriority w:val="99"/>
    <w:semiHidden/>
    <w:unhideWhenUsed/>
    <w:rsid w:val="00ED3538"/>
    <w:rPr>
      <w:rFonts w:ascii="Tahoma" w:cs="Tahoma" w:hAnsi="Tahoma"/>
      <w:sz w:val="16"/>
      <w:szCs w:val="16"/>
    </w:rPr>
  </w:style>
  <w:style w:customStyle="1" w:styleId="TekstbaloniaChar" w:type="character">
    <w:name w:val="Tekst balončića Char"/>
    <w:basedOn w:val="Zadanifontodlomka"/>
    <w:link w:val="Tekstbalonia"/>
    <w:uiPriority w:val="99"/>
    <w:semiHidden/>
    <w:rsid w:val="00ED353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A712C"/>
    <w:rPr>
      <w:color w:val="808080"/>
      <w:bdr w:color="auto" w:space="0" w:sz="0" w:val="none"/>
      <w:shd w:color="auto" w:fill="auto" w:val="clear"/>
    </w:rPr>
  </w:style>
  <w:style w:customStyle="1" w:styleId="eSPISCCParagraphDefaultFont" w:type="character">
    <w:name w:val="eSPIS_CC_Paragraph Default Font"/>
    <w:basedOn w:val="Zadanifontodlomka"/>
    <w:rsid w:val="006A712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A712C"/>
    <w:rPr>
      <w:szCs w:val="24"/>
      <w:bdr w:color="auto" w:space="0" w:sz="0" w:val="none"/>
      <w:shd w:color="auto" w:fill="FFFFCC" w:val="clear"/>
      <w:lang w:val="hr-HR"/>
    </w:rPr>
  </w:style>
  <w:style w:customStyle="1" w:styleId="PozadinaSvijetloCrvena" w:type="character">
    <w:name w:val="Pozadina_SvijetloCrvena"/>
    <w:basedOn w:val="eSPISCCParagraphDefaultFont"/>
    <w:rsid w:val="006A712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A712C"/>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A50102"/>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2340962">
      <w:bodyDiv w:val="true"/>
      <w:marLeft w:val="0"/>
      <w:marRight w:val="0"/>
      <w:marTop w:val="0"/>
      <w:marBottom w:val="0"/>
      <w:divBdr>
        <w:top w:val="none" w:color="auto" w:sz="0" w:space="0"/>
        <w:left w:val="none" w:color="auto" w:sz="0" w:space="0"/>
        <w:bottom w:val="none" w:color="auto" w:sz="0" w:space="0"/>
        <w:right w:val="none" w:color="auto" w:sz="0" w:space="0"/>
      </w:divBdr>
    </w:div>
    <w:div w:id="1112479195">
      <w:bodyDiv w:val="true"/>
      <w:marLeft w:val="0"/>
      <w:marRight w:val="0"/>
      <w:marTop w:val="0"/>
      <w:marBottom w:val="0"/>
      <w:divBdr>
        <w:top w:val="none" w:color="auto" w:sz="0" w:space="0"/>
        <w:left w:val="none" w:color="auto" w:sz="0" w:space="0"/>
        <w:bottom w:val="none" w:color="auto" w:sz="0" w:space="0"/>
        <w:right w:val="none" w:color="auto" w:sz="0" w:space="0"/>
      </w:divBdr>
    </w:div>
    <w:div w:id="1357652799">
      <w:bodyDiv w:val="true"/>
      <w:marLeft w:val="0"/>
      <w:marRight w:val="0"/>
      <w:marTop w:val="0"/>
      <w:marBottom w:val="0"/>
      <w:divBdr>
        <w:top w:val="none" w:color="auto" w:sz="0" w:space="0"/>
        <w:left w:val="none" w:color="auto" w:sz="0" w:space="0"/>
        <w:bottom w:val="none" w:color="auto" w:sz="0" w:space="0"/>
        <w:right w:val="none" w:color="auto" w:sz="0" w:space="0"/>
      </w:divBdr>
    </w:div>
    <w:div w:id="1576164378">
      <w:bodyDiv w:val="true"/>
      <w:marLeft w:val="0"/>
      <w:marRight w:val="0"/>
      <w:marTop w:val="0"/>
      <w:marBottom w:val="0"/>
      <w:divBdr>
        <w:top w:val="none" w:color="auto" w:sz="0" w:space="0"/>
        <w:left w:val="none" w:color="auto" w:sz="0" w:space="0"/>
        <w:bottom w:val="none" w:color="auto" w:sz="0" w:space="0"/>
        <w:right w:val="none" w:color="auto" w:sz="0" w:space="0"/>
      </w:divBdr>
    </w:div>
    <w:div w:id="170571785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travnja 2021.</izvorni_sadrzaj>
    <derivirana_varijabla naziv="DomainObject.PlaniraniZavrsetakDatum_1">26. travnja 2021.</derivirana_varijabla>
  </DomainObject.PlaniraniZavrsetakDatum>
  <DomainObject.PlaniraniPocetakDatum>
    <izvorni_sadrzaj>26. travnja 2021.</izvorni_sadrzaj>
    <derivirana_varijabla naziv="DomainObject.PlaniraniPocetakDatum_1">26. travnja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09:50</izvorni_sadrzaj>
    <derivirana_varijabla naziv="DomainObject.PlaniraniZavrsetakVrijeme_1">09:50</derivirana_varijabla>
  </DomainObject.PlaniraniZavrsetakVrijeme>
  <DomainObject.PlaniraniPocetakVrijeme>
    <izvorni_sadrzaj>09:35</izvorni_sadrzaj>
    <derivirana_varijabla naziv="DomainObject.PlaniraniPocetakVrijeme_1">09:35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travnja 2021.</izvorni_sadrzaj>
    <derivirana_varijabla naziv="DomainObject.Zapisnik.DatumKreiranja_1">26. travnja 2021.</derivirana_varijabla>
  </DomainObject.Zapisnik.DatumKreiranja>
  <DomainObject.Zapisnik.ImovinskaKorist>
    <izvorni_sadrzaj/>
    <derivirana_varijabla naziv="DomainObject.Zapisnik.ImovinskaKorist_1"/>
  </DomainObject.Zapisnik.ImovinskaKorist>
  <DomainObject.Zapisnik.Oznaka>
    <izvorni_sadrzaj>St-1204/2021-207</izvorni_sadrzaj>
    <derivirana_varijabla naziv="DomainObject.Zapisnik.Oznaka_1">St-1204/2021-207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1204</izvorni_sadrzaj>
    <derivirana_varijabla naziv="DomainObject.Predmet.Broj_1">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2021.</izvorni_sadrzaj>
    <derivirana_varijabla naziv="DomainObject.Predmet.DatumOsnivanja_1">12. ožujka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St-1204/2021</izvorni_sadrzaj>
    <derivirana_varijabla naziv="DomainObject.Predmet.OznakaBroj_1">St-1204/2021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BauMax Zagreb d.o.o. u stečaju zastupanog po punomoćniku Ante Jukić</izvorni_sadrzaj>
    <derivirana_varijabla naziv="DomainObject.Predmet.ProtustrankaFormated_1">  Stečajna masa iza BauMax Zagreb d.o.o. u stečaju zastupanog po punomoćniku Ante Jukić</derivirana_varijabla>
  </DomainObject.Predmet.ProtustrankaFormated>
  <DomainObject.Predmet.ProtustrankaFormatedOIB>
    <izvorni_sadrzaj>  Stečajna masa iza BauMax Zagreb d.o.o. u stečaju, OIB 00000000001 zastupanog po punomoćniku Ante Jukić</izvorni_sadrzaj>
    <derivirana_varijabla naziv="DomainObject.Predmet.ProtustrankaFormatedOIB_1">  Stečajna masa iza BauMax Zagreb d.o.o. u stečaju, OIB 00000000001 zastupanog po punomoćniku Ante Jukić</derivirana_varijabla>
  </DomainObject.Predmet.ProtustrankaFormatedOIB>
  <DomainObject.Predmet.ProtustrankaFormatedWithAdress>
    <izvorni_sadrzaj> Stečajna masa iza BauMax Zagreb d.o.o. u stečaju, Škorpikova 11, 10000 Zagreb zastupanog po punomoćniku Ante Jukić</izvorni_sadrzaj>
    <derivirana_varijabla naziv="DomainObject.Predmet.ProtustrankaFormatedWithAdress_1"> Stečajna masa iza BauMax Zagreb d.o.o. u stečaju, Škorpikova 11, 10000 Zagreb zastupanog po punomoćniku Ante Jukić</derivirana_varijabla>
  </DomainObject.Predmet.ProtustrankaFormatedWithAdress>
  <DomainObject.Predmet.ProtustrankaFormatedWithAdressOIB>
    <izvorni_sadrzaj> Stečajna masa iza BauMax Zagreb d.o.o. u stečaju, OIB 00000000001, Škorpikova 11, 10000 Zagreb zastupanog po punomoćniku Ante Jukić</izvorni_sadrzaj>
    <derivirana_varijabla naziv="DomainObject.Predmet.ProtustrankaFormatedWithAdressOIB_1"> Stečajna masa iza BauMax Zagreb d.o.o. u stečaju, OIB 00000000001, Škorpikova 11, 10000 Zagreb zastupanog po punomoćniku Ante Jukić</derivirana_varijabla>
  </DomainObject.Predmet.ProtustrankaFormatedWithAdressOIB>
  <DomainObject.Predmet.ProtustrankaWithAdress>
    <izvorni_sadrzaj>Stečajna masa iza BauMax Zagreb d.o.o. u stečaju Škorpikova 11, 10000 Zagreb</izvorni_sadrzaj>
    <derivirana_varijabla naziv="DomainObject.Predmet.ProtustrankaWithAdress_1">Stečajna masa iza BauMax Zagreb d.o.o. u stečaju Škorpikova 11, 10000 Zagreb</derivirana_varijabla>
  </DomainObject.Predmet.ProtustrankaWithAdress>
  <DomainObject.Predmet.ProtustrankaWithAdressOIB>
    <izvorni_sadrzaj>Stečajna masa iza BauMax Zagreb d.o.o. u stečaju, OIB 00000000001, Škorpikova 11, 10000 Zagreb</izvorni_sadrzaj>
    <derivirana_varijabla naziv="DomainObject.Predmet.ProtustrankaWithAdressOIB_1">Stečajna masa iza BauMax Zagreb d.o.o. u stečaju, OIB 00000000001, Škorpikova 11, 10000 Zagreb</derivirana_varijabla>
  </DomainObject.Predmet.ProtustrankaWithAdressOIB>
  <DomainObject.Predmet.ProtustrankaNazivFormated>
    <izvorni_sadrzaj>Stečajna masa iza BauMax Zagreb d.o.o. u stečaju</izvorni_sadrzaj>
    <derivirana_varijabla naziv="DomainObject.Predmet.ProtustrankaNazivFormated_1">Stečajna masa iza BauMax Zagreb d.o.o. u stečaju</derivirana_varijabla>
  </DomainObject.Predmet.ProtustrankaNazivFormated>
  <DomainObject.Predmet.ProtustrankaNazivFormatedOIB>
    <izvorni_sadrzaj>Stečajna masa iza BauMax Zagreb d.o.o. u stečaju, OIB 00000000001</izvorni_sadrzaj>
    <derivirana_varijabla naziv="DomainObject.Predmet.ProtustrankaNazivFormatedOIB_1">Stečajna masa iza BauMax Zagreb d.o.o. u stečaju,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INPROX Zagreb Sesvete d.o.o.; INPROX Split d.o.o.</izvorni_sadrzaj>
    <derivirana_varijabla naziv="DomainObject.Predmet.StrankaFormated_1">  INPROX Zagreb Sesvete d.o.o.; INPROX Split d.o.o.</derivirana_varijabla>
  </DomainObject.Predmet.StrankaFormated>
  <DomainObject.Predmet.StrankaFormatedOIB>
    <izvorni_sadrzaj>  INPROX Zagreb Sesvete d.o.o., OIB 28449669517; INPROX Split d.o.o., OIB 20710803749</izvorni_sadrzaj>
    <derivirana_varijabla naziv="DomainObject.Predmet.StrankaFormatedOIB_1">  INPROX Zagreb Sesvete d.o.o., OIB 28449669517; INPROX Split d.o.o., OIB 20710803749</derivirana_varijabla>
  </DomainObject.Predmet.StrankaFormatedOIB>
  <DomainObject.Predmet.StrankaFormatedWithAdress>
    <izvorni_sadrzaj> INPROX Zagreb Sesvete d.o.o., Poljička 5/V, 10000 Zagreb; INPROX Split d.o.o., Poljička 5/V, 10000 Zagreb</izvorni_sadrzaj>
    <derivirana_varijabla naziv="DomainObject.Predmet.StrankaFormatedWithAdress_1"> INPROX Zagreb Sesvete d.o.o., Poljička 5/V, 10000 Zagreb; INPROX Split d.o.o., Poljička 5/V, 10000 Zagreb</derivirana_varijabla>
  </DomainObject.Predmet.StrankaFormatedWithAdress>
  <DomainObject.Predmet.StrankaFormatedWithAdressOIB>
    <izvorni_sadrzaj> INPROX Zagreb Sesvete d.o.o., OIB 28449669517, Poljička 5/V, 10000 Zagreb; INPROX Split d.o.o., OIB 20710803749, Poljička 5/V, 10000 Zagreb</izvorni_sadrzaj>
    <derivirana_varijabla naziv="DomainObject.Predmet.StrankaFormatedWithAdressOIB_1"> INPROX Zagreb Sesvete d.o.o., OIB 28449669517, Poljička 5/V, 10000 Zagreb; INPROX Split d.o.o., OIB 20710803749, Poljička 5/V, 10000 Zagreb</derivirana_varijabla>
  </DomainObject.Predmet.StrankaFormatedWithAdressOIB>
  <DomainObject.Predmet.StrankaWithAdress>
    <izvorni_sadrzaj>INPROX Zagreb Sesvete d.o.o. Poljička 5/V,10000 Zagreb,INPROX Split d.o.o. Poljička 5/V,10000 Zagreb</izvorni_sadrzaj>
    <derivirana_varijabla naziv="DomainObject.Predmet.StrankaWithAdress_1">INPROX Zagreb Sesvete d.o.o. Poljička 5/V,10000 Zagreb,INPROX Split d.o.o. Poljička 5/V,10000 Zagreb</derivirana_varijabla>
  </DomainObject.Predmet.StrankaWithAdress>
  <DomainObject.Predmet.StrankaWithAdressOIB>
    <izvorni_sadrzaj>INPROX Zagreb Sesvete d.o.o., OIB 28449669517, Poljička 5/V,10000 Zagreb,INPROX Split d.o.o., OIB 20710803749, Poljička 5/V,10000 Zagreb</izvorni_sadrzaj>
    <derivirana_varijabla naziv="DomainObject.Predmet.StrankaWithAdressOIB_1">INPROX Zagreb Sesvete d.o.o., OIB 28449669517, Poljička 5/V,10000 Zagreb,INPROX Split d.o.o., OIB 20710803749, Poljička 5/V,10000 Zagreb</derivirana_varijabla>
  </DomainObject.Predmet.StrankaWithAdressOIB>
  <DomainObject.Predmet.StrankaNazivFormated>
    <izvorni_sadrzaj>INPROX Zagreb Sesvete d.o.o.,INPROX Split d.o.o.</izvorni_sadrzaj>
    <derivirana_varijabla naziv="DomainObject.Predmet.StrankaNazivFormated_1">INPROX Zagreb Sesvete d.o.o.,INPROX Split d.o.o.</derivirana_varijabla>
  </DomainObject.Predmet.StrankaNazivFormated>
  <DomainObject.Predmet.StrankaNazivFormatedOIB>
    <izvorni_sadrzaj>INPROX Zagreb Sesvete d.o.o., OIB 28449669517,INPROX Split d.o.o., OIB 20710803749</izvorni_sadrzaj>
    <derivirana_varijabla naziv="DomainObject.Predmet.StrankaNazivFormatedOIB_1">INPROX Zagreb Sesvete d.o.o., OIB 28449669517,INPROX Split d.o.o., OIB 20710803749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INPROX Zagreb Sesvete d.o.o.</item>
      <item>INPROX Split d.o.o.</item>
    </izvorni_sadrzaj>
    <derivirana_varijabla naziv="DomainObject.Predmet.StrankaListFormated_1">
      <item>INPROX Zagreb Sesvete d.o.o.</item>
      <item>INPROX Split d.o.o.</item>
    </derivirana_varijabla>
  </DomainObject.Predmet.StrankaListFormated>
  <DomainObject.Predmet.StrankaListFormatedOIB>
    <izvorni_sadrzaj>
      <item>INPROX Zagreb Sesvete d.o.o., OIB 28449669517</item>
      <item>INPROX Split d.o.o., OIB 20710803749</item>
    </izvorni_sadrzaj>
    <derivirana_varijabla naziv="DomainObject.Predmet.StrankaListFormatedOIB_1">
      <item>INPROX Zagreb Sesvete d.o.o., OIB 28449669517</item>
      <item>INPROX Split d.o.o., OIB 20710803749</item>
    </derivirana_varijabla>
  </DomainObject.Predmet.StrankaListFormatedOIB>
  <DomainObject.Predmet.StrankaListFormatedWithAdress>
    <izvorni_sadrzaj>
      <item>INPROX Zagreb Sesvete d.o.o., Poljička 5/V, 10000 Zagreb</item>
      <item>INPROX Split d.o.o., Poljička 5/V, 10000 Zagreb</item>
    </izvorni_sadrzaj>
    <derivirana_varijabla naziv="DomainObject.Predmet.StrankaListFormatedWithAdress_1">
      <item>INPROX Zagreb Sesvete d.o.o., Poljička 5/V, 10000 Zagreb</item>
      <item>INPROX Split d.o.o., Poljička 5/V, 10000 Zagreb</item>
    </derivirana_varijabla>
  </DomainObject.Predmet.StrankaListFormatedWithAdress>
  <DomainObject.Predmet.StrankaListFormatedWithAdressOIB>
    <izvorni_sadrzaj>
      <item>INPROX Zagreb Sesvete d.o.o., OIB 28449669517, Poljička 5/V, 10000 Zagreb</item>
      <item>INPROX Split d.o.o., OIB 20710803749, Poljička 5/V, 10000 Zagreb</item>
    </izvorni_sadrzaj>
    <derivirana_varijabla naziv="DomainObject.Predmet.StrankaListFormatedWithAdressOIB_1">
      <item>INPROX Zagreb Sesvete d.o.o., OIB 28449669517, Poljička 5/V, 10000 Zagreb</item>
      <item>INPROX Split d.o.o., OIB 20710803749, Poljička 5/V, 10000 Zagreb</item>
    </derivirana_varijabla>
  </DomainObject.Predmet.StrankaListFormatedWithAdressOIB>
  <DomainObject.Predmet.StrankaListNazivFormated>
    <izvorni_sadrzaj>
      <item>INPROX Zagreb Sesvete d.o.o.</item>
      <item>INPROX Split d.o.o.</item>
    </izvorni_sadrzaj>
    <derivirana_varijabla naziv="DomainObject.Predmet.StrankaListNazivFormated_1">
      <item>INPROX Zagreb Sesvete d.o.o.</item>
      <item>INPROX Split d.o.o.</item>
    </derivirana_varijabla>
  </DomainObject.Predmet.StrankaListNazivFormated>
  <DomainObject.Predmet.StrankaListNazivFormatedOIB>
    <izvorni_sadrzaj>
      <item>INPROX Zagreb Sesvete d.o.o., OIB 28449669517</item>
      <item>INPROX Split d.o.o., OIB 20710803749</item>
    </izvorni_sadrzaj>
    <derivirana_varijabla naziv="DomainObject.Predmet.StrankaListNazivFormatedOIB_1">
      <item>INPROX Zagreb Sesvete d.o.o., OIB 28449669517</item>
      <item>INPROX Split d.o.o., OIB 20710803749</item>
    </derivirana_varijabla>
  </DomainObject.Predmet.StrankaListNazivFormatedOIB>
  <DomainObject.Predmet.ProtuStrankaListFormated>
    <izvorni_sadrzaj>
      <item>Stečajna masa iza BauMax Zagreb d.o.o. u stečaju zastupanog po punomoćniku Ante Jukić</item>
    </izvorni_sadrzaj>
    <derivirana_varijabla naziv="DomainObject.Predmet.ProtuStrankaListFormated_1">
      <item>Stečajna masa iza BauMax Zagreb d.o.o. u stečaju zastupanog po punomoćniku Ante Jukić</item>
    </derivirana_varijabla>
  </DomainObject.Predmet.ProtuStrankaListFormated>
  <DomainObject.Predmet.ProtuStrankaListFormatedOIB>
    <izvorni_sadrzaj>
      <item>Stečajna masa iza BauMax Zagreb d.o.o. u stečaju, OIB 00000000001 zastupanog po punomoćniku Ante Jukić</item>
    </izvorni_sadrzaj>
    <derivirana_varijabla naziv="DomainObject.Predmet.ProtuStrankaListFormatedOIB_1">
      <item>Stečajna masa iza BauMax Zagreb d.o.o. u stečaju, OIB 00000000001 zastupanog po punomoćniku Ante Jukić</item>
    </derivirana_varijabla>
  </DomainObject.Predmet.ProtuStrankaListFormatedOIB>
  <DomainObject.Predmet.ProtuStrankaListFormatedWithAdress>
    <izvorni_sadrzaj>
      <item>Stečajna masa iza BauMax Zagreb d.o.o. u stečaju, Škorpikova 11, 10000 Zagreb zastupanog po punomoćniku Ante Jukić</item>
    </izvorni_sadrzaj>
    <derivirana_varijabla naziv="DomainObject.Predmet.ProtuStrankaListFormatedWithAdress_1">
      <item>Stečajna masa iza BauMax Zagreb d.o.o. u stečaju, Škorpikova 11, 10000 Zagreb zastupanog po punomoćniku Ante Jukić</item>
    </derivirana_varijabla>
  </DomainObject.Predmet.ProtuStrankaListFormatedWithAdress>
  <DomainObject.Predmet.ProtuStrankaListFormatedWithAdressOIB>
    <izvorni_sadrzaj>
      <item>Stečajna masa iza BauMax Zagreb d.o.o. u stečaju, OIB 00000000001, Škorpikova 11, 10000 Zagreb zastupanog po punomoćniku Ante Jukić</item>
    </izvorni_sadrzaj>
    <derivirana_varijabla naziv="DomainObject.Predmet.ProtuStrankaListFormatedWithAdressOIB_1">
      <item>Stečajna masa iza BauMax Zagreb d.o.o. u stečaju, OIB 00000000001, Škorpikova 11, 10000 Zagreb zastupanog po punomoćniku Ante Jukić</item>
    </derivirana_varijabla>
  </DomainObject.Predmet.ProtuStrankaListFormatedWithAdressOIB>
  <DomainObject.Predmet.ProtuStrankaListNazivFormated>
    <izvorni_sadrzaj>
      <item>Stečajna masa iza BauMax Zagreb d.o.o. u stečaju</item>
    </izvorni_sadrzaj>
    <derivirana_varijabla naziv="DomainObject.Predmet.ProtuStrankaListNazivFormated_1">
      <item>Stečajna masa iza BauMax Zagreb d.o.o. u stečaju</item>
    </derivirana_varijabla>
  </DomainObject.Predmet.ProtuStrankaListNazivFormated>
  <DomainObject.Predmet.ProtuStrankaListNazivFormatedOIB>
    <izvorni_sadrzaj>
      <item>Stečajna masa iza BauMax Zagreb d.o.o. u stečaju, OIB 00000000001</item>
    </izvorni_sadrzaj>
    <derivirana_varijabla naziv="DomainObject.Predmet.ProtuStrankaListNazivFormatedOIB_1">
      <item>Stečajna masa iza BauMax Zagreb d.o.o. u stečaju, OIB 00000000001</item>
    </derivirana_varijabla>
  </DomainObject.Predmet.ProtuStrankaListNazivFormatedOIB>
  <DomainObject.Predmet.OstaliListFormated>
    <izvorni_sadrzaj>
      <item>Ante Jukić punomoćnik sudionika u postupku Stečajna masa iza BauMax Zagreb d.o.o. u stečaju</item>
    </izvorni_sadrzaj>
    <derivirana_varijabla naziv="DomainObject.Predmet.OstaliListFormated_1">
      <item>Ante Jukić punomoćnik sudionika u postupku Stečajna masa iza BauMax Zagreb d.o.o. u stečaju</item>
    </derivirana_varijabla>
  </DomainObject.Predmet.OstaliListFormated>
  <DomainObject.Predmet.OstaliListFormatedOIB>
    <izvorni_sadrzaj>
      <item>Ante Jukić, OIB 74320689175 punomoćnik sudionika u postupku Stečajna masa iza BauMax Zagreb d.o.o. u stečaju</item>
    </izvorni_sadrzaj>
    <derivirana_varijabla naziv="DomainObject.Predmet.OstaliListFormatedOIB_1">
      <item>Ante Jukić, OIB 74320689175 punomoćnik sudionika u postupku Stečajna masa iza BauMax Zagreb d.o.o. u stečaju</item>
    </derivirana_varijabla>
  </DomainObject.Predmet.OstaliListFormatedOIB>
  <DomainObject.Predmet.OstaliListFormatedWithAdress>
    <izvorni_sadrzaj>
      <item>Ante Jukić, Majstora Radonje 12, 10000 Zagreb punomoćnik sudionika u postupku Stečajna masa iza BauMax Zagreb d.o.o. u stečaju</item>
    </izvorni_sadrzaj>
    <derivirana_varijabla naziv="DomainObject.Predmet.OstaliListFormatedWithAdress_1">
      <item>Ante Jukić, Majstora Radonje 12, 10000 Zagreb punomoćnik sudionika u postupku Stečajna masa iza BauMax Zagreb d.o.o. u stečaju</item>
    </derivirana_varijabla>
  </DomainObject.Predmet.OstaliListFormatedWithAdress>
  <DomainObject.Predmet.OstaliListFormatedWithAdressOIB>
    <izvorni_sadrzaj>
      <item>Ante Jukić, OIB 74320689175, Majstora Radonje 12, 10000 Zagreb punomoćnik sudionika u postupku Stečajna masa iza BauMax Zagreb d.o.o. u stečaju</item>
    </izvorni_sadrzaj>
    <derivirana_varijabla naziv="DomainObject.Predmet.OstaliListFormatedWithAdressOIB_1">
      <item>Ante Jukić, OIB 74320689175, Majstora Radonje 12, 10000 Zagreb punomoćnik sudionika u postupku Stečajna masa iza BauMax Zagreb d.o.o. u stečaju</item>
    </derivirana_varijabla>
  </DomainObject.Predmet.OstaliListFormatedWithAdressOIB>
  <DomainObject.Predmet.OstaliListNazivFormated>
    <izvorni_sadrzaj>
      <item>Ante Jukić</item>
    </izvorni_sadrzaj>
    <derivirana_varijabla naziv="DomainObject.Predmet.OstaliListNazivFormated_1">
      <item>Ante Jukić</item>
    </derivirana_varijabla>
  </DomainObject.Predmet.OstaliListNazivFormated>
  <DomainObject.Predmet.OstaliListNazivFormatedOIB>
    <izvorni_sadrzaj>
      <item>Ante Jukić, OIB 74320689175</item>
    </izvorni_sadrzaj>
    <derivirana_varijabla naziv="DomainObject.Predmet.OstaliListNazivFormatedOIB_1">
      <item>Ante Jukić, OIB 74320689175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travnja 2021.</izvorni_sadrzaj>
    <derivirana_varijabla naziv="DomainObject.Datum_1">26. travnja 2021.</derivirana_varijabla>
  </DomainObject.Datum>
  <DomainObject.PoslovniBrojDokumenta>
    <izvorni_sadrzaj>St-1204/2021-207</izvorni_sadrzaj>
    <derivirana_varijabla naziv="DomainObject.PoslovniBrojDokumenta_1">St-1204/2021-207</derivirana_varijabla>
  </DomainObject.PoslovniBrojDokumenta>
  <DomainObject.Predmet.StrankaIDrugi>
    <izvorni_sadrzaj>INPROX Zagreb Sesvete d.o.o. i dr.</izvorni_sadrzaj>
    <derivirana_varijabla naziv="DomainObject.Predmet.StrankaIDrugi_1">INPROX Zagreb Sesvete d.o.o. i dr.</derivirana_varijabla>
  </DomainObject.Predmet.StrankaIDrugi>
  <DomainObject.Predmet.ProtustrankaIDrugi>
    <izvorni_sadrzaj>Stečajna masa iza BauMax Zagreb d.o.o. u stečaju</izvorni_sadrzaj>
    <derivirana_varijabla naziv="DomainObject.Predmet.ProtustrankaIDrugi_1">Stečajna masa iza BauMax Zagreb d.o.o. u stečaju</derivirana_varijabla>
  </DomainObject.Predmet.ProtustrankaIDrugi>
  <DomainObject.Predmet.StrankaIDrugiAdressOIB>
    <izvorni_sadrzaj>INPROX Zagreb Sesvete d.o.o., OIB 28449669517, Poljička 5/V, 10000 Zagreb i dr.</izvorni_sadrzaj>
    <derivirana_varijabla naziv="DomainObject.Predmet.StrankaIDrugiAdressOIB_1">INPROX Zagreb Sesvete d.o.o., OIB 28449669517, Poljička 5/V, 10000 Zagreb i dr.</derivirana_varijabla>
  </DomainObject.Predmet.StrankaIDrugiAdressOIB>
  <DomainObject.Predmet.ProtustrankaIDrugiAdressOIB>
    <izvorni_sadrzaj>Stečajna masa iza BauMax Zagreb d.o.o. u stečaju, OIB 00000000001, Škorpikova 11, 10000 Zagreb</izvorni_sadrzaj>
    <derivirana_varijabla naziv="DomainObject.Predmet.ProtustrankaIDrugiAdressOIB_1">Stečajna masa iza BauMax Zagreb d.o.o. u stečaju, OIB 00000000001, Škorpikova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INPROX Zagreb Sesvete d.o.o.</item>
      <item>INPROX Split d.o.o.</item>
      <item>Stečajna masa iza BauMax Zagreb d.o.o. u stečaju</item>
      <item>Ante Jukić</item>
    </izvorni_sadrzaj>
    <derivirana_varijabla naziv="DomainObject.Predmet.SudioniciListNaziv_1">
      <item>INPROX Zagreb Sesvete d.o.o.</item>
      <item>INPROX Split d.o.o.</item>
      <item>Stečajna masa iza BauMax Zagreb d.o.o. u stečaju</item>
      <item>Ante Jukić</item>
    </derivirana_varijabla>
  </DomainObject.Predmet.SudioniciListNaziv>
  <DomainObject.Predmet.SudioniciListAdressOIB>
    <izvorni_sadrzaj>
      <item>INPROX Zagreb Sesvete d.o.o., OIB 28449669517, Poljička 5/V,10000 Zagreb</item>
      <item>INPROX Split d.o.o., OIB 20710803749, Poljička 5/V,10000 Zagreb</item>
      <item>Stečajna masa iza BauMax Zagreb d.o.o. u stečaju, OIB 00000000001, Škorpikova 11,10000 Zagreb</item>
      <item>Ante Jukić, OIB 74320689175, Majstora Radonje 12,10000 Zagreb</item>
    </izvorni_sadrzaj>
    <derivirana_varijabla naziv="DomainObject.Predmet.SudioniciListAdressOIB_1">
      <item>INPROX Zagreb Sesvete d.o.o., OIB 28449669517, Poljička 5/V,10000 Zagreb</item>
      <item>INPROX Split d.o.o., OIB 20710803749, Poljička 5/V,10000 Zagreb</item>
      <item>Stečajna masa iza BauMax Zagreb d.o.o. u stečaju, OIB 00000000001, Škorpikova 11,10000 Zagreb</item>
      <item>Ante Jukić, OIB 74320689175, Majstora Radonje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28449669517</item>
      <item>, OIB 20710803749</item>
      <item>, OIB 00000000001</item>
      <item>, OIB 74320689175</item>
    </izvorni_sadrzaj>
    <derivirana_varijabla naziv="DomainObject.Predmet.SudioniciListNazivOIB_1">
      <item>, OIB 28449669517</item>
      <item>, OIB 20710803749</item>
      <item>, OIB 00000000001</item>
      <item>, OIB 74320689175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DB692B-369A-40B9-B514-4C1897512E4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1095</properties:Words>
  <properties:Characters>6264</properties:Characters>
  <properties:Lines>163</properties:Lines>
  <properties:Paragraphs>61</properties:Paragraphs>
  <properties:TotalTime>25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2021-04-22T07:47:00Z</dcterms:created>
  <dc:creator>Maja Hajtek</dc:creator>
  <cp:lastModifiedBy>Maja Hajtek</cp:lastModifiedBy>
  <cp:lastPrinted>2021-04-26T07:48:00Z</cp:lastPrinted>
  <dcterms:modified xmlns:xsi="http://www.w3.org/2001/XMLSchema-instance" xsi:type="dcterms:W3CDTF">2021-04-26T09:23:00Z</dcterms:modified>
  <cp:revision>45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St-1204/2021-207 / Zapisnik - Skupština vjerovnika (ZAPISNIK - skupština vjerovnika - 26.04.2021. - 09,20.docx)</vt:lpwstr>
  </prop:property>
  <prop:property fmtid="{D5CDD505-2E9C-101B-9397-08002B2CF9AE}" pid="4" name="CC_coloring">
    <vt:bool>false</vt:bool>
  </prop:property>
  <prop:property fmtid="{D5CDD505-2E9C-101B-9397-08002B2CF9AE}" pid="5" name="BrojStranica">
    <vt:i4>3</vt:i4>
  </prop:property>
</prop:Properties>
</file>